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EC2A" w14:textId="77777777" w:rsidR="00A77D79" w:rsidRPr="008B1649" w:rsidRDefault="00D83499">
      <w:pPr>
        <w:jc w:val="right"/>
        <w:rPr>
          <w:b/>
          <w:color w:val="auto"/>
          <w:sz w:val="24"/>
        </w:rPr>
      </w:pPr>
      <w:r>
        <w:rPr>
          <w:b/>
          <w:color w:val="auto"/>
          <w:sz w:val="24"/>
        </w:rPr>
        <w:t>Voting ballot no. ........</w:t>
      </w:r>
    </w:p>
    <w:p w14:paraId="168D078A" w14:textId="77777777" w:rsidR="00A77D79" w:rsidRPr="008B1649" w:rsidRDefault="00D83499">
      <w:pPr>
        <w:jc w:val="center"/>
        <w:rPr>
          <w:color w:val="auto"/>
          <w:sz w:val="28"/>
          <w:szCs w:val="28"/>
        </w:rPr>
      </w:pPr>
      <w:r>
        <w:rPr>
          <w:b/>
          <w:color w:val="auto"/>
          <w:sz w:val="26"/>
        </w:rPr>
        <w:t>Voting ballot</w:t>
      </w:r>
      <w:r w:rsidRPr="008B1649">
        <w:rPr>
          <w:rStyle w:val="FootnoteAnchor"/>
          <w:b/>
          <w:color w:val="auto"/>
          <w:sz w:val="26"/>
          <w:szCs w:val="26"/>
        </w:rPr>
        <w:footnoteReference w:id="1"/>
      </w:r>
      <w:r>
        <w:rPr>
          <w:b/>
          <w:color w:val="auto"/>
          <w:sz w:val="26"/>
        </w:rPr>
        <w:t xml:space="preserve"> for the Electromagnetica Ordinary General Meeting of Shareholders (AGOA) held on 28 April 2021, 10:00 </w:t>
      </w:r>
      <w:proofErr w:type="gramStart"/>
      <w:r>
        <w:rPr>
          <w:b/>
          <w:color w:val="auto"/>
          <w:sz w:val="26"/>
        </w:rPr>
        <w:t>o’clock</w:t>
      </w:r>
      <w:proofErr w:type="gramEnd"/>
    </w:p>
    <w:p w14:paraId="3B66EB69" w14:textId="77777777" w:rsidR="00A77D79" w:rsidRPr="008B1649" w:rsidRDefault="00A77D79">
      <w:pPr>
        <w:rPr>
          <w:color w:val="auto"/>
        </w:rPr>
      </w:pPr>
    </w:p>
    <w:p w14:paraId="7661F069" w14:textId="77777777" w:rsidR="00A77D79" w:rsidRPr="008B1649" w:rsidRDefault="00D83499">
      <w:pPr>
        <w:rPr>
          <w:color w:val="auto"/>
        </w:rPr>
      </w:pPr>
      <w:r>
        <w:rPr>
          <w:color w:val="auto"/>
        </w:rPr>
        <w:t xml:space="preserve">No. of shares held at the reference date, </w:t>
      </w:r>
      <w:r>
        <w:rPr>
          <w:b/>
          <w:color w:val="auto"/>
        </w:rPr>
        <w:t>15.04.2021</w:t>
      </w:r>
      <w:r>
        <w:rPr>
          <w:color w:val="auto"/>
        </w:rPr>
        <w:t xml:space="preserve">, and/or </w:t>
      </w:r>
      <w:proofErr w:type="gramStart"/>
      <w:r>
        <w:rPr>
          <w:color w:val="auto"/>
        </w:rPr>
        <w:t>represented:...........................................</w:t>
      </w:r>
      <w:proofErr w:type="gramEnd"/>
    </w:p>
    <w:p w14:paraId="2650E11C" w14:textId="77777777" w:rsidR="00A77D79" w:rsidRPr="008B1649" w:rsidRDefault="00D83499">
      <w:pPr>
        <w:rPr>
          <w:color w:val="auto"/>
        </w:rPr>
      </w:pPr>
      <w:r>
        <w:rPr>
          <w:color w:val="auto"/>
        </w:rPr>
        <w:t xml:space="preserve">No. of voting </w:t>
      </w:r>
      <w:proofErr w:type="gramStart"/>
      <w:r>
        <w:rPr>
          <w:color w:val="auto"/>
        </w:rPr>
        <w:t>rights:..................................................</w:t>
      </w:r>
      <w:proofErr w:type="gramEnd"/>
    </w:p>
    <w:tbl>
      <w:tblPr>
        <w:tblStyle w:val="Tabelgril"/>
        <w:tblW w:w="5003" w:type="pct"/>
        <w:jc w:val="center"/>
        <w:tblLayout w:type="fixed"/>
        <w:tblCellMar>
          <w:left w:w="93" w:type="dxa"/>
        </w:tblCellMar>
        <w:tblLook w:val="04A0" w:firstRow="1" w:lastRow="0" w:firstColumn="1" w:lastColumn="0" w:noHBand="0" w:noVBand="1"/>
      </w:tblPr>
      <w:tblGrid>
        <w:gridCol w:w="562"/>
        <w:gridCol w:w="5655"/>
        <w:gridCol w:w="1068"/>
        <w:gridCol w:w="1080"/>
        <w:gridCol w:w="1380"/>
      </w:tblGrid>
      <w:tr w:rsidR="008B1649" w:rsidRPr="008B1649" w14:paraId="0A3D18AE" w14:textId="77777777" w:rsidTr="00E463A2">
        <w:trPr>
          <w:trHeight w:val="276"/>
          <w:tblHeader/>
          <w:jc w:val="center"/>
        </w:trPr>
        <w:tc>
          <w:tcPr>
            <w:tcW w:w="562" w:type="dxa"/>
            <w:shd w:val="clear" w:color="auto" w:fill="auto"/>
            <w:tcMar>
              <w:left w:w="93" w:type="dxa"/>
            </w:tcMar>
          </w:tcPr>
          <w:p w14:paraId="07D8B77B" w14:textId="77777777" w:rsidR="00104F94" w:rsidRPr="008B1649" w:rsidRDefault="00241043" w:rsidP="00104F94">
            <w:pPr>
              <w:spacing w:after="0" w:line="240" w:lineRule="auto"/>
              <w:rPr>
                <w:b/>
                <w:color w:val="auto"/>
              </w:rPr>
            </w:pPr>
            <w:r>
              <w:rPr>
                <w:b/>
                <w:color w:val="auto"/>
              </w:rPr>
              <w:t>Item no.</w:t>
            </w:r>
          </w:p>
        </w:tc>
        <w:tc>
          <w:tcPr>
            <w:tcW w:w="5655" w:type="dxa"/>
            <w:shd w:val="clear" w:color="auto" w:fill="auto"/>
            <w:tcMar>
              <w:left w:w="93" w:type="dxa"/>
            </w:tcMar>
          </w:tcPr>
          <w:p w14:paraId="2003A807" w14:textId="77777777" w:rsidR="00104F94" w:rsidRPr="008B1649" w:rsidRDefault="00104F94" w:rsidP="000503CE">
            <w:pPr>
              <w:spacing w:before="58" w:after="0" w:line="240" w:lineRule="auto"/>
              <w:ind w:left="144"/>
              <w:rPr>
                <w:b/>
                <w:color w:val="auto"/>
              </w:rPr>
            </w:pPr>
            <w:r>
              <w:rPr>
                <w:b/>
                <w:color w:val="auto"/>
                <w:sz w:val="24"/>
              </w:rPr>
              <w:t>Resolution</w:t>
            </w:r>
          </w:p>
        </w:tc>
        <w:tc>
          <w:tcPr>
            <w:tcW w:w="1068" w:type="dxa"/>
            <w:shd w:val="clear" w:color="auto" w:fill="auto"/>
            <w:tcMar>
              <w:left w:w="93" w:type="dxa"/>
            </w:tcMar>
          </w:tcPr>
          <w:p w14:paraId="5CF6711F" w14:textId="77777777" w:rsidR="00E463A2" w:rsidRDefault="00104F94" w:rsidP="000503CE">
            <w:pPr>
              <w:spacing w:after="0" w:line="240" w:lineRule="auto"/>
              <w:rPr>
                <w:b/>
                <w:color w:val="auto"/>
                <w:sz w:val="24"/>
              </w:rPr>
            </w:pPr>
            <w:r>
              <w:rPr>
                <w:b/>
                <w:color w:val="auto"/>
                <w:sz w:val="24"/>
              </w:rPr>
              <w:t>Vote</w:t>
            </w:r>
          </w:p>
          <w:p w14:paraId="4751CCD0" w14:textId="62BF38E4" w:rsidR="00104F94" w:rsidRPr="008B1649" w:rsidRDefault="00104F94" w:rsidP="000503CE">
            <w:pPr>
              <w:spacing w:after="0" w:line="240" w:lineRule="auto"/>
              <w:rPr>
                <w:b/>
                <w:color w:val="auto"/>
              </w:rPr>
            </w:pPr>
            <w:r>
              <w:rPr>
                <w:b/>
                <w:i/>
                <w:color w:val="auto"/>
                <w:sz w:val="24"/>
              </w:rPr>
              <w:t>For</w:t>
            </w:r>
          </w:p>
        </w:tc>
        <w:tc>
          <w:tcPr>
            <w:tcW w:w="1080" w:type="dxa"/>
            <w:shd w:val="clear" w:color="auto" w:fill="auto"/>
            <w:tcMar>
              <w:left w:w="93" w:type="dxa"/>
            </w:tcMar>
          </w:tcPr>
          <w:p w14:paraId="282B3137" w14:textId="77777777" w:rsidR="00104F94" w:rsidRPr="008B1649" w:rsidRDefault="00104F94" w:rsidP="000503CE">
            <w:pPr>
              <w:spacing w:after="0" w:line="240" w:lineRule="auto"/>
              <w:rPr>
                <w:b/>
                <w:color w:val="auto"/>
              </w:rPr>
            </w:pPr>
            <w:r>
              <w:rPr>
                <w:b/>
                <w:color w:val="auto"/>
                <w:sz w:val="24"/>
              </w:rPr>
              <w:t xml:space="preserve">Vote </w:t>
            </w:r>
            <w:r>
              <w:rPr>
                <w:b/>
                <w:i/>
                <w:color w:val="auto"/>
                <w:sz w:val="24"/>
              </w:rPr>
              <w:t>Against</w:t>
            </w:r>
          </w:p>
        </w:tc>
        <w:tc>
          <w:tcPr>
            <w:tcW w:w="1380" w:type="dxa"/>
            <w:shd w:val="clear" w:color="auto" w:fill="auto"/>
            <w:tcMar>
              <w:left w:w="93" w:type="dxa"/>
            </w:tcMar>
          </w:tcPr>
          <w:p w14:paraId="1C0BC2CE" w14:textId="77777777" w:rsidR="00104F94" w:rsidRPr="008B1649" w:rsidRDefault="00104F94" w:rsidP="000503CE">
            <w:pPr>
              <w:spacing w:after="0" w:line="240" w:lineRule="auto"/>
              <w:rPr>
                <w:b/>
                <w:color w:val="auto"/>
              </w:rPr>
            </w:pPr>
            <w:r>
              <w:rPr>
                <w:b/>
                <w:color w:val="auto"/>
                <w:sz w:val="24"/>
              </w:rPr>
              <w:t xml:space="preserve">Vote </w:t>
            </w:r>
            <w:r>
              <w:rPr>
                <w:b/>
                <w:i/>
                <w:color w:val="auto"/>
                <w:sz w:val="24"/>
              </w:rPr>
              <w:t>Abstention</w:t>
            </w:r>
          </w:p>
        </w:tc>
      </w:tr>
      <w:tr w:rsidR="008B1649" w:rsidRPr="008B1649" w14:paraId="3FBA158B" w14:textId="77777777" w:rsidTr="00E463A2">
        <w:trPr>
          <w:trHeight w:val="292"/>
          <w:jc w:val="center"/>
        </w:trPr>
        <w:tc>
          <w:tcPr>
            <w:tcW w:w="562" w:type="dxa"/>
            <w:shd w:val="clear" w:color="auto" w:fill="auto"/>
            <w:tcMar>
              <w:left w:w="93" w:type="dxa"/>
            </w:tcMar>
          </w:tcPr>
          <w:p w14:paraId="64E87565" w14:textId="77777777" w:rsidR="00104F94" w:rsidRPr="008B1649" w:rsidRDefault="00104F94" w:rsidP="000503CE">
            <w:pPr>
              <w:spacing w:after="0" w:line="240" w:lineRule="auto"/>
              <w:jc w:val="center"/>
              <w:rPr>
                <w:color w:val="auto"/>
              </w:rPr>
            </w:pPr>
            <w:r>
              <w:rPr>
                <w:b/>
                <w:color w:val="auto"/>
              </w:rPr>
              <w:t>1</w:t>
            </w:r>
          </w:p>
        </w:tc>
        <w:tc>
          <w:tcPr>
            <w:tcW w:w="5655" w:type="dxa"/>
            <w:shd w:val="clear" w:color="auto" w:fill="auto"/>
            <w:tcMar>
              <w:left w:w="93" w:type="dxa"/>
            </w:tcMar>
          </w:tcPr>
          <w:p w14:paraId="44EC87A5" w14:textId="77777777" w:rsidR="00104F94" w:rsidRPr="008B1649" w:rsidRDefault="00104F94" w:rsidP="000503CE">
            <w:pPr>
              <w:suppressAutoHyphens/>
              <w:spacing w:before="58" w:after="0" w:line="240" w:lineRule="auto"/>
              <w:ind w:left="115"/>
              <w:jc w:val="both"/>
              <w:rPr>
                <w:rFonts w:ascii="Times New Roman" w:hAnsi="Times New Roman" w:cs="Times New Roman"/>
                <w:i/>
                <w:color w:val="auto"/>
              </w:rPr>
            </w:pPr>
            <w:r>
              <w:rPr>
                <w:rFonts w:ascii="Times New Roman" w:hAnsi="Times New Roman"/>
                <w:i/>
                <w:color w:val="auto"/>
              </w:rPr>
              <w:t xml:space="preserve">Approval of the separate annual financial statements for the year ended 31.12.2020 according to the Accounting Regulations in line with the International Financial Reporting Standards, accompanied by the report of the Board of Directors and the report of the financial auditor, consisting </w:t>
            </w:r>
            <w:proofErr w:type="gramStart"/>
            <w:r>
              <w:rPr>
                <w:rFonts w:ascii="Times New Roman" w:hAnsi="Times New Roman"/>
                <w:i/>
                <w:color w:val="auto"/>
              </w:rPr>
              <w:t>of:</w:t>
            </w:r>
            <w:proofErr w:type="gramEnd"/>
            <w:r>
              <w:rPr>
                <w:rFonts w:ascii="Times New Roman" w:hAnsi="Times New Roman"/>
                <w:i/>
                <w:color w:val="auto"/>
              </w:rPr>
              <w:t xml:space="preserve"> statement of financial position, statement of comprehensive income, statement of changes in equity, statement of cash flows, notes to the separate financial statements.</w:t>
            </w:r>
          </w:p>
        </w:tc>
        <w:tc>
          <w:tcPr>
            <w:tcW w:w="1068" w:type="dxa"/>
            <w:shd w:val="clear" w:color="auto" w:fill="auto"/>
            <w:tcMar>
              <w:left w:w="93" w:type="dxa"/>
            </w:tcMar>
          </w:tcPr>
          <w:p w14:paraId="411CAA9F" w14:textId="77777777" w:rsidR="00104F94" w:rsidRPr="008B1649" w:rsidRDefault="00104F94" w:rsidP="000503CE">
            <w:pPr>
              <w:spacing w:after="0" w:line="240" w:lineRule="auto"/>
              <w:ind w:left="76" w:hanging="76"/>
              <w:rPr>
                <w:b/>
                <w:color w:val="auto"/>
                <w:sz w:val="24"/>
                <w:szCs w:val="24"/>
              </w:rPr>
            </w:pPr>
          </w:p>
        </w:tc>
        <w:tc>
          <w:tcPr>
            <w:tcW w:w="1080" w:type="dxa"/>
            <w:shd w:val="clear" w:color="auto" w:fill="auto"/>
            <w:tcMar>
              <w:left w:w="93" w:type="dxa"/>
            </w:tcMar>
          </w:tcPr>
          <w:p w14:paraId="03CA5BE6"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05343AA2" w14:textId="77777777" w:rsidR="00104F94" w:rsidRPr="008B1649" w:rsidRDefault="00104F94" w:rsidP="000503CE">
            <w:pPr>
              <w:spacing w:after="0" w:line="240" w:lineRule="auto"/>
              <w:rPr>
                <w:b/>
                <w:color w:val="auto"/>
                <w:sz w:val="24"/>
                <w:szCs w:val="24"/>
              </w:rPr>
            </w:pPr>
          </w:p>
        </w:tc>
      </w:tr>
      <w:tr w:rsidR="008B1649" w:rsidRPr="008B1649" w14:paraId="099ECF73" w14:textId="77777777" w:rsidTr="00E463A2">
        <w:trPr>
          <w:trHeight w:val="292"/>
          <w:jc w:val="center"/>
        </w:trPr>
        <w:tc>
          <w:tcPr>
            <w:tcW w:w="562" w:type="dxa"/>
            <w:shd w:val="clear" w:color="auto" w:fill="auto"/>
            <w:tcMar>
              <w:left w:w="93" w:type="dxa"/>
            </w:tcMar>
          </w:tcPr>
          <w:p w14:paraId="60D95447" w14:textId="77777777" w:rsidR="00104F94" w:rsidRPr="008B1649" w:rsidRDefault="00104F94" w:rsidP="000503CE">
            <w:pPr>
              <w:spacing w:after="0" w:line="240" w:lineRule="auto"/>
              <w:jc w:val="center"/>
              <w:rPr>
                <w:color w:val="auto"/>
              </w:rPr>
            </w:pPr>
            <w:r>
              <w:rPr>
                <w:b/>
                <w:color w:val="auto"/>
              </w:rPr>
              <w:t>2</w:t>
            </w:r>
          </w:p>
        </w:tc>
        <w:tc>
          <w:tcPr>
            <w:tcW w:w="5655" w:type="dxa"/>
            <w:shd w:val="clear" w:color="auto" w:fill="auto"/>
            <w:tcMar>
              <w:left w:w="93" w:type="dxa"/>
            </w:tcMar>
          </w:tcPr>
          <w:p w14:paraId="0C831F62" w14:textId="77777777" w:rsidR="00104F94" w:rsidRPr="008B1649" w:rsidRDefault="00104F94" w:rsidP="000503CE">
            <w:pPr>
              <w:suppressAutoHyphens/>
              <w:spacing w:before="58" w:after="0" w:line="240" w:lineRule="auto"/>
              <w:ind w:left="115"/>
              <w:jc w:val="both"/>
              <w:rPr>
                <w:rFonts w:ascii="Times New Roman" w:hAnsi="Times New Roman" w:cs="Times New Roman"/>
                <w:i/>
                <w:color w:val="auto"/>
              </w:rPr>
            </w:pPr>
            <w:r>
              <w:rPr>
                <w:rFonts w:ascii="Times New Roman" w:hAnsi="Times New Roman"/>
                <w:i/>
                <w:color w:val="auto"/>
              </w:rPr>
              <w:t>Approval of the consolidated annual financial statements for the year ended 31.12.2020 according to the Accounting Regulations in line with the International Financial Reporting Standards, accompanied by the report of the Board of Directors and the report of the financial auditor, consisting of: consolidated statement of financial position, consolidated statement of comprehensive income, consolidated statement of changes in equity, consolidated statement of cash flows, notes to the consolidated financial statements.</w:t>
            </w:r>
          </w:p>
        </w:tc>
        <w:tc>
          <w:tcPr>
            <w:tcW w:w="1068" w:type="dxa"/>
            <w:shd w:val="clear" w:color="auto" w:fill="auto"/>
            <w:tcMar>
              <w:left w:w="93" w:type="dxa"/>
            </w:tcMar>
          </w:tcPr>
          <w:p w14:paraId="1D57A22F"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45F5A5AA"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7BE13442" w14:textId="77777777" w:rsidR="00104F94" w:rsidRPr="008B1649" w:rsidRDefault="00104F94" w:rsidP="000503CE">
            <w:pPr>
              <w:spacing w:after="0" w:line="240" w:lineRule="auto"/>
              <w:rPr>
                <w:b/>
                <w:color w:val="auto"/>
                <w:sz w:val="24"/>
                <w:szCs w:val="24"/>
              </w:rPr>
            </w:pPr>
          </w:p>
        </w:tc>
      </w:tr>
      <w:tr w:rsidR="008B1649" w:rsidRPr="008B1649" w14:paraId="69BCC3B8" w14:textId="77777777" w:rsidTr="00E463A2">
        <w:trPr>
          <w:trHeight w:val="548"/>
          <w:jc w:val="center"/>
        </w:trPr>
        <w:tc>
          <w:tcPr>
            <w:tcW w:w="562" w:type="dxa"/>
            <w:shd w:val="clear" w:color="auto" w:fill="auto"/>
            <w:tcMar>
              <w:left w:w="93" w:type="dxa"/>
            </w:tcMar>
          </w:tcPr>
          <w:p w14:paraId="2C8931D7" w14:textId="77777777" w:rsidR="00104F94" w:rsidRPr="008B1649" w:rsidRDefault="00104F94" w:rsidP="000503CE">
            <w:pPr>
              <w:spacing w:after="0" w:line="240" w:lineRule="auto"/>
              <w:jc w:val="center"/>
              <w:rPr>
                <w:color w:val="auto"/>
              </w:rPr>
            </w:pPr>
            <w:r>
              <w:rPr>
                <w:b/>
                <w:color w:val="auto"/>
              </w:rPr>
              <w:t>3</w:t>
            </w:r>
          </w:p>
        </w:tc>
        <w:tc>
          <w:tcPr>
            <w:tcW w:w="5655" w:type="dxa"/>
            <w:shd w:val="clear" w:color="auto" w:fill="auto"/>
            <w:tcMar>
              <w:left w:w="93" w:type="dxa"/>
            </w:tcMar>
          </w:tcPr>
          <w:p w14:paraId="2649CE63" w14:textId="77777777" w:rsidR="00104F94" w:rsidRPr="008B1649" w:rsidRDefault="00104F94" w:rsidP="000503CE">
            <w:pPr>
              <w:suppressAutoHyphens/>
              <w:spacing w:before="58" w:after="0" w:line="240" w:lineRule="auto"/>
              <w:ind w:left="144"/>
              <w:jc w:val="both"/>
              <w:rPr>
                <w:rFonts w:ascii="Calibri" w:hAnsi="Calibri"/>
                <w:color w:val="auto"/>
              </w:rPr>
            </w:pPr>
            <w:r>
              <w:rPr>
                <w:rFonts w:ascii="Times New Roman" w:hAnsi="Times New Roman"/>
                <w:i/>
                <w:color w:val="auto"/>
              </w:rPr>
              <w:t>Approval of the net profit distribution</w:t>
            </w:r>
          </w:p>
        </w:tc>
        <w:tc>
          <w:tcPr>
            <w:tcW w:w="1068" w:type="dxa"/>
            <w:shd w:val="clear" w:color="auto" w:fill="auto"/>
            <w:tcMar>
              <w:left w:w="93" w:type="dxa"/>
            </w:tcMar>
          </w:tcPr>
          <w:p w14:paraId="787F782A"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4D31D90B"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0C606985" w14:textId="77777777" w:rsidR="00104F94" w:rsidRPr="008B1649" w:rsidRDefault="00104F94" w:rsidP="000503CE">
            <w:pPr>
              <w:spacing w:after="0" w:line="240" w:lineRule="auto"/>
              <w:rPr>
                <w:b/>
                <w:color w:val="auto"/>
                <w:sz w:val="24"/>
                <w:szCs w:val="24"/>
              </w:rPr>
            </w:pPr>
          </w:p>
        </w:tc>
      </w:tr>
      <w:tr w:rsidR="008B1649" w:rsidRPr="008B1649" w14:paraId="35EB9BBD" w14:textId="77777777" w:rsidTr="00E463A2">
        <w:trPr>
          <w:trHeight w:val="548"/>
          <w:jc w:val="center"/>
        </w:trPr>
        <w:tc>
          <w:tcPr>
            <w:tcW w:w="562" w:type="dxa"/>
            <w:shd w:val="clear" w:color="auto" w:fill="auto"/>
            <w:tcMar>
              <w:left w:w="93" w:type="dxa"/>
            </w:tcMar>
          </w:tcPr>
          <w:p w14:paraId="09AD50B9" w14:textId="77777777" w:rsidR="00104F94" w:rsidRPr="008B1649" w:rsidRDefault="00104F94" w:rsidP="000503CE">
            <w:pPr>
              <w:spacing w:after="0" w:line="240" w:lineRule="auto"/>
              <w:jc w:val="center"/>
              <w:rPr>
                <w:b/>
                <w:color w:val="auto"/>
              </w:rPr>
            </w:pPr>
            <w:r>
              <w:rPr>
                <w:b/>
                <w:color w:val="auto"/>
              </w:rPr>
              <w:t>4</w:t>
            </w:r>
          </w:p>
        </w:tc>
        <w:tc>
          <w:tcPr>
            <w:tcW w:w="5655" w:type="dxa"/>
            <w:shd w:val="clear" w:color="auto" w:fill="auto"/>
            <w:tcMar>
              <w:left w:w="93" w:type="dxa"/>
            </w:tcMar>
          </w:tcPr>
          <w:p w14:paraId="58FE8BBE" w14:textId="77777777" w:rsidR="00104F94" w:rsidRPr="008B1649" w:rsidRDefault="00104F94" w:rsidP="00104F94">
            <w:pPr>
              <w:spacing w:before="280" w:after="280" w:line="240" w:lineRule="auto"/>
              <w:ind w:left="182"/>
              <w:contextualSpacing/>
              <w:jc w:val="both"/>
              <w:rPr>
                <w:rFonts w:ascii="Times New Roman" w:hAnsi="Times New Roman" w:cs="Times New Roman"/>
                <w:i/>
                <w:color w:val="auto"/>
              </w:rPr>
            </w:pPr>
            <w:r>
              <w:rPr>
                <w:rFonts w:ascii="Times New Roman" w:hAnsi="Times New Roman"/>
                <w:i/>
                <w:color w:val="auto"/>
              </w:rPr>
              <w:t>Appointment of the financial auditor and determination of the minimum term of the financial audit contract, authorising the Board of Directors to negotiate, execute and sign the contract in the name and for the Company</w:t>
            </w:r>
          </w:p>
        </w:tc>
        <w:tc>
          <w:tcPr>
            <w:tcW w:w="1068" w:type="dxa"/>
            <w:shd w:val="clear" w:color="auto" w:fill="auto"/>
            <w:tcMar>
              <w:left w:w="93" w:type="dxa"/>
            </w:tcMar>
          </w:tcPr>
          <w:p w14:paraId="3843DD41"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1E8BC94D"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73B65BC5" w14:textId="77777777" w:rsidR="00104F94" w:rsidRPr="008B1649" w:rsidRDefault="00104F94" w:rsidP="000503CE">
            <w:pPr>
              <w:spacing w:after="0" w:line="240" w:lineRule="auto"/>
              <w:rPr>
                <w:b/>
                <w:color w:val="auto"/>
                <w:sz w:val="24"/>
                <w:szCs w:val="24"/>
              </w:rPr>
            </w:pPr>
          </w:p>
        </w:tc>
      </w:tr>
      <w:tr w:rsidR="008B1649" w:rsidRPr="008B1649" w14:paraId="57BF5504" w14:textId="77777777" w:rsidTr="00E463A2">
        <w:trPr>
          <w:trHeight w:val="548"/>
          <w:jc w:val="center"/>
        </w:trPr>
        <w:tc>
          <w:tcPr>
            <w:tcW w:w="562" w:type="dxa"/>
            <w:shd w:val="clear" w:color="auto" w:fill="auto"/>
            <w:tcMar>
              <w:left w:w="93" w:type="dxa"/>
            </w:tcMar>
          </w:tcPr>
          <w:p w14:paraId="2AC26F36" w14:textId="77777777" w:rsidR="00104F94" w:rsidRPr="008B1649" w:rsidRDefault="00104F94" w:rsidP="000503CE">
            <w:pPr>
              <w:spacing w:after="0" w:line="240" w:lineRule="auto"/>
              <w:jc w:val="center"/>
              <w:rPr>
                <w:b/>
                <w:color w:val="auto"/>
              </w:rPr>
            </w:pPr>
            <w:r>
              <w:rPr>
                <w:b/>
                <w:color w:val="auto"/>
              </w:rPr>
              <w:t>5</w:t>
            </w:r>
          </w:p>
        </w:tc>
        <w:tc>
          <w:tcPr>
            <w:tcW w:w="5655" w:type="dxa"/>
            <w:shd w:val="clear" w:color="auto" w:fill="auto"/>
            <w:tcMar>
              <w:left w:w="93" w:type="dxa"/>
            </w:tcMar>
          </w:tcPr>
          <w:p w14:paraId="00314463" w14:textId="77777777"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Discharge of directors for the financial year of the year 2020</w:t>
            </w:r>
          </w:p>
        </w:tc>
        <w:tc>
          <w:tcPr>
            <w:tcW w:w="1068" w:type="dxa"/>
            <w:shd w:val="clear" w:color="auto" w:fill="auto"/>
            <w:tcMar>
              <w:left w:w="93" w:type="dxa"/>
            </w:tcMar>
          </w:tcPr>
          <w:p w14:paraId="7D192E4D"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4A1243D9"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39C1B812" w14:textId="77777777" w:rsidR="00104F94" w:rsidRPr="008B1649" w:rsidRDefault="00104F94" w:rsidP="000503CE">
            <w:pPr>
              <w:spacing w:after="0" w:line="240" w:lineRule="auto"/>
              <w:rPr>
                <w:b/>
                <w:color w:val="auto"/>
                <w:sz w:val="24"/>
                <w:szCs w:val="24"/>
              </w:rPr>
            </w:pPr>
          </w:p>
        </w:tc>
      </w:tr>
      <w:tr w:rsidR="008B1649" w:rsidRPr="008B1649" w14:paraId="254C3E5A" w14:textId="77777777" w:rsidTr="00E463A2">
        <w:trPr>
          <w:trHeight w:val="548"/>
          <w:jc w:val="center"/>
        </w:trPr>
        <w:tc>
          <w:tcPr>
            <w:tcW w:w="562" w:type="dxa"/>
            <w:shd w:val="clear" w:color="auto" w:fill="auto"/>
            <w:tcMar>
              <w:left w:w="93" w:type="dxa"/>
            </w:tcMar>
          </w:tcPr>
          <w:p w14:paraId="622D696C" w14:textId="77777777" w:rsidR="00104F94" w:rsidRPr="008B1649" w:rsidRDefault="00104F94" w:rsidP="000503CE">
            <w:pPr>
              <w:spacing w:after="0" w:line="240" w:lineRule="auto"/>
              <w:jc w:val="center"/>
              <w:rPr>
                <w:b/>
                <w:color w:val="auto"/>
              </w:rPr>
            </w:pPr>
            <w:r>
              <w:rPr>
                <w:b/>
                <w:color w:val="auto"/>
              </w:rPr>
              <w:t>6</w:t>
            </w:r>
          </w:p>
        </w:tc>
        <w:tc>
          <w:tcPr>
            <w:tcW w:w="5655" w:type="dxa"/>
            <w:shd w:val="clear" w:color="auto" w:fill="auto"/>
            <w:tcMar>
              <w:left w:w="93" w:type="dxa"/>
            </w:tcMar>
          </w:tcPr>
          <w:p w14:paraId="03322E74" w14:textId="654EC121"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 xml:space="preserve">Approval of the Revenue </w:t>
            </w:r>
            <w:r w:rsidR="00381DDB">
              <w:rPr>
                <w:rFonts w:ascii="Times New Roman" w:hAnsi="Times New Roman"/>
                <w:i/>
                <w:color w:val="auto"/>
              </w:rPr>
              <w:t>a</w:t>
            </w:r>
            <w:r>
              <w:rPr>
                <w:rFonts w:ascii="Times New Roman" w:hAnsi="Times New Roman"/>
                <w:i/>
                <w:color w:val="auto"/>
              </w:rPr>
              <w:t>nd Expenditure Budget for 2021 and of the Activity Programme for the financial year 2021, authorising the Board of Directors to realign the revenue and expenditure items in case of occurrence of random and unforeseeable events.</w:t>
            </w:r>
          </w:p>
        </w:tc>
        <w:tc>
          <w:tcPr>
            <w:tcW w:w="1068" w:type="dxa"/>
            <w:shd w:val="clear" w:color="auto" w:fill="auto"/>
            <w:tcMar>
              <w:left w:w="93" w:type="dxa"/>
            </w:tcMar>
          </w:tcPr>
          <w:p w14:paraId="372CBFEE"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4ACBD23F"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084DA1FE" w14:textId="77777777" w:rsidR="00104F94" w:rsidRPr="008B1649" w:rsidRDefault="00104F94" w:rsidP="000503CE">
            <w:pPr>
              <w:spacing w:after="0" w:line="240" w:lineRule="auto"/>
              <w:rPr>
                <w:b/>
                <w:color w:val="auto"/>
                <w:sz w:val="24"/>
                <w:szCs w:val="24"/>
              </w:rPr>
            </w:pPr>
          </w:p>
        </w:tc>
      </w:tr>
      <w:tr w:rsidR="008B1649" w:rsidRPr="008B1649" w14:paraId="0955A642" w14:textId="77777777" w:rsidTr="00E463A2">
        <w:trPr>
          <w:trHeight w:val="548"/>
          <w:jc w:val="center"/>
        </w:trPr>
        <w:tc>
          <w:tcPr>
            <w:tcW w:w="562" w:type="dxa"/>
            <w:shd w:val="clear" w:color="auto" w:fill="auto"/>
            <w:tcMar>
              <w:left w:w="93" w:type="dxa"/>
            </w:tcMar>
          </w:tcPr>
          <w:p w14:paraId="7900DB8F" w14:textId="77777777" w:rsidR="00104F94" w:rsidRPr="008B1649" w:rsidRDefault="00104F94" w:rsidP="000503CE">
            <w:pPr>
              <w:spacing w:after="0" w:line="240" w:lineRule="auto"/>
              <w:jc w:val="center"/>
              <w:rPr>
                <w:b/>
                <w:color w:val="auto"/>
              </w:rPr>
            </w:pPr>
            <w:r>
              <w:rPr>
                <w:b/>
                <w:color w:val="auto"/>
              </w:rPr>
              <w:lastRenderedPageBreak/>
              <w:t>7</w:t>
            </w:r>
          </w:p>
        </w:tc>
        <w:tc>
          <w:tcPr>
            <w:tcW w:w="5655" w:type="dxa"/>
            <w:shd w:val="clear" w:color="auto" w:fill="auto"/>
            <w:tcMar>
              <w:left w:w="93" w:type="dxa"/>
            </w:tcMar>
          </w:tcPr>
          <w:p w14:paraId="30F3E720" w14:textId="77777777"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“Remuneration Policy applicable to Directors and Managing Directors”.</w:t>
            </w:r>
          </w:p>
        </w:tc>
        <w:tc>
          <w:tcPr>
            <w:tcW w:w="1068" w:type="dxa"/>
            <w:shd w:val="clear" w:color="auto" w:fill="auto"/>
            <w:tcMar>
              <w:left w:w="93" w:type="dxa"/>
            </w:tcMar>
          </w:tcPr>
          <w:p w14:paraId="17F678F0"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658A5F82"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087EF3A5" w14:textId="77777777" w:rsidR="00104F94" w:rsidRPr="008B1649" w:rsidRDefault="00104F94" w:rsidP="000503CE">
            <w:pPr>
              <w:spacing w:after="0" w:line="240" w:lineRule="auto"/>
              <w:rPr>
                <w:b/>
                <w:color w:val="auto"/>
                <w:sz w:val="24"/>
                <w:szCs w:val="24"/>
              </w:rPr>
            </w:pPr>
          </w:p>
        </w:tc>
      </w:tr>
      <w:tr w:rsidR="008B1649" w:rsidRPr="008B1649" w14:paraId="590DB980" w14:textId="77777777" w:rsidTr="00E463A2">
        <w:trPr>
          <w:trHeight w:val="548"/>
          <w:jc w:val="center"/>
        </w:trPr>
        <w:tc>
          <w:tcPr>
            <w:tcW w:w="562" w:type="dxa"/>
            <w:shd w:val="clear" w:color="auto" w:fill="auto"/>
            <w:tcMar>
              <w:left w:w="93" w:type="dxa"/>
            </w:tcMar>
          </w:tcPr>
          <w:p w14:paraId="35D7F6FD" w14:textId="77777777" w:rsidR="00104F94" w:rsidRPr="008B1649" w:rsidRDefault="00104F94" w:rsidP="000503CE">
            <w:pPr>
              <w:spacing w:after="0" w:line="240" w:lineRule="auto"/>
              <w:jc w:val="center"/>
              <w:rPr>
                <w:b/>
                <w:color w:val="auto"/>
              </w:rPr>
            </w:pPr>
            <w:r>
              <w:rPr>
                <w:b/>
                <w:color w:val="auto"/>
              </w:rPr>
              <w:t>8</w:t>
            </w:r>
          </w:p>
        </w:tc>
        <w:tc>
          <w:tcPr>
            <w:tcW w:w="5655" w:type="dxa"/>
            <w:shd w:val="clear" w:color="auto" w:fill="auto"/>
            <w:tcMar>
              <w:left w:w="93" w:type="dxa"/>
            </w:tcMar>
          </w:tcPr>
          <w:p w14:paraId="392B068D" w14:textId="6174C0B5" w:rsidR="00104F94" w:rsidRPr="008B1649" w:rsidRDefault="00104F94" w:rsidP="000503CE">
            <w:pPr>
              <w:suppressAutoHyphens/>
              <w:spacing w:before="58" w:after="0" w:line="240" w:lineRule="auto"/>
              <w:ind w:left="144"/>
              <w:jc w:val="both"/>
              <w:rPr>
                <w:rFonts w:ascii="Calibri" w:hAnsi="Calibri"/>
                <w:color w:val="auto"/>
              </w:rPr>
            </w:pPr>
            <w:r>
              <w:rPr>
                <w:rFonts w:ascii="Times New Roman" w:hAnsi="Times New Roman"/>
                <w:i/>
                <w:color w:val="auto"/>
              </w:rPr>
              <w:t>Approval of the remuneration due to the</w:t>
            </w:r>
            <w:r w:rsidR="00921A56">
              <w:rPr>
                <w:rFonts w:ascii="Times New Roman" w:hAnsi="Times New Roman"/>
                <w:i/>
                <w:color w:val="auto"/>
              </w:rPr>
              <w:t xml:space="preserve"> members of the</w:t>
            </w:r>
            <w:r>
              <w:rPr>
                <w:rFonts w:ascii="Times New Roman" w:hAnsi="Times New Roman"/>
                <w:i/>
                <w:color w:val="auto"/>
              </w:rPr>
              <w:t xml:space="preserve"> Board of Directors for the financial year 2021</w:t>
            </w:r>
          </w:p>
        </w:tc>
        <w:tc>
          <w:tcPr>
            <w:tcW w:w="1068" w:type="dxa"/>
            <w:shd w:val="clear" w:color="auto" w:fill="auto"/>
            <w:tcMar>
              <w:left w:w="93" w:type="dxa"/>
            </w:tcMar>
          </w:tcPr>
          <w:p w14:paraId="42A7235E"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2104A651"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4A6D2ABF" w14:textId="77777777" w:rsidR="00104F94" w:rsidRPr="008B1649" w:rsidRDefault="00104F94" w:rsidP="000503CE">
            <w:pPr>
              <w:spacing w:after="0" w:line="240" w:lineRule="auto"/>
              <w:rPr>
                <w:b/>
                <w:color w:val="auto"/>
                <w:sz w:val="24"/>
                <w:szCs w:val="24"/>
              </w:rPr>
            </w:pPr>
          </w:p>
        </w:tc>
      </w:tr>
      <w:tr w:rsidR="008B1649" w:rsidRPr="008B1649" w14:paraId="7B26CDC2" w14:textId="77777777" w:rsidTr="00E463A2">
        <w:trPr>
          <w:trHeight w:val="548"/>
          <w:jc w:val="center"/>
        </w:trPr>
        <w:tc>
          <w:tcPr>
            <w:tcW w:w="562" w:type="dxa"/>
            <w:shd w:val="clear" w:color="auto" w:fill="auto"/>
            <w:tcMar>
              <w:left w:w="93" w:type="dxa"/>
            </w:tcMar>
          </w:tcPr>
          <w:p w14:paraId="7E9254B7" w14:textId="77777777" w:rsidR="00104F94" w:rsidRPr="008B1649" w:rsidRDefault="00104F94" w:rsidP="000503CE">
            <w:pPr>
              <w:spacing w:after="0" w:line="240" w:lineRule="auto"/>
              <w:jc w:val="center"/>
              <w:rPr>
                <w:b/>
                <w:color w:val="auto"/>
              </w:rPr>
            </w:pPr>
            <w:r>
              <w:rPr>
                <w:b/>
                <w:color w:val="auto"/>
              </w:rPr>
              <w:t>9</w:t>
            </w:r>
          </w:p>
        </w:tc>
        <w:tc>
          <w:tcPr>
            <w:tcW w:w="5655" w:type="dxa"/>
            <w:shd w:val="clear" w:color="auto" w:fill="auto"/>
            <w:tcMar>
              <w:left w:w="93" w:type="dxa"/>
            </w:tcMar>
          </w:tcPr>
          <w:p w14:paraId="4EC8DBED" w14:textId="77777777"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remuneration due to the members of the Audit Committee for the financial year 2021</w:t>
            </w:r>
          </w:p>
        </w:tc>
        <w:tc>
          <w:tcPr>
            <w:tcW w:w="1068" w:type="dxa"/>
            <w:shd w:val="clear" w:color="auto" w:fill="auto"/>
            <w:tcMar>
              <w:left w:w="93" w:type="dxa"/>
            </w:tcMar>
          </w:tcPr>
          <w:p w14:paraId="0AA9FF39"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36B0E54E"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3B59B2A2" w14:textId="77777777" w:rsidR="00104F94" w:rsidRPr="008B1649" w:rsidRDefault="00104F94" w:rsidP="000503CE">
            <w:pPr>
              <w:spacing w:after="0" w:line="240" w:lineRule="auto"/>
              <w:rPr>
                <w:b/>
                <w:color w:val="auto"/>
                <w:sz w:val="24"/>
                <w:szCs w:val="24"/>
              </w:rPr>
            </w:pPr>
          </w:p>
        </w:tc>
      </w:tr>
      <w:tr w:rsidR="008B1649" w:rsidRPr="008B1649" w14:paraId="51A7B987" w14:textId="77777777" w:rsidTr="00E463A2">
        <w:trPr>
          <w:trHeight w:val="548"/>
          <w:jc w:val="center"/>
        </w:trPr>
        <w:tc>
          <w:tcPr>
            <w:tcW w:w="562" w:type="dxa"/>
            <w:shd w:val="clear" w:color="auto" w:fill="auto"/>
            <w:tcMar>
              <w:left w:w="93" w:type="dxa"/>
            </w:tcMar>
          </w:tcPr>
          <w:p w14:paraId="1AB094AC" w14:textId="77777777" w:rsidR="00104F94" w:rsidRPr="008B1649" w:rsidRDefault="00104F94" w:rsidP="000503CE">
            <w:pPr>
              <w:spacing w:after="0" w:line="240" w:lineRule="auto"/>
              <w:jc w:val="center"/>
              <w:rPr>
                <w:b/>
                <w:color w:val="auto"/>
              </w:rPr>
            </w:pPr>
            <w:r>
              <w:rPr>
                <w:b/>
                <w:color w:val="auto"/>
              </w:rPr>
              <w:t>10</w:t>
            </w:r>
          </w:p>
        </w:tc>
        <w:tc>
          <w:tcPr>
            <w:tcW w:w="5655" w:type="dxa"/>
            <w:shd w:val="clear" w:color="auto" w:fill="auto"/>
            <w:tcMar>
              <w:left w:w="93" w:type="dxa"/>
            </w:tcMar>
          </w:tcPr>
          <w:p w14:paraId="03445471" w14:textId="77777777"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date of 20.05.2021 as registration date for the identification of shareholders affected by the AGOA resolutions, and of the date of 19.05.2021 as ex-date (date by which shares are traded without the rights deriving from the AGOA resolutions)</w:t>
            </w:r>
          </w:p>
        </w:tc>
        <w:tc>
          <w:tcPr>
            <w:tcW w:w="1068" w:type="dxa"/>
            <w:shd w:val="clear" w:color="auto" w:fill="auto"/>
            <w:tcMar>
              <w:left w:w="93" w:type="dxa"/>
            </w:tcMar>
          </w:tcPr>
          <w:p w14:paraId="6F68313D"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0B35E83A"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2E1AB53D" w14:textId="77777777" w:rsidR="00104F94" w:rsidRPr="008B1649" w:rsidRDefault="00104F94" w:rsidP="000503CE">
            <w:pPr>
              <w:spacing w:after="0" w:line="240" w:lineRule="auto"/>
              <w:rPr>
                <w:b/>
                <w:color w:val="auto"/>
                <w:sz w:val="24"/>
                <w:szCs w:val="24"/>
              </w:rPr>
            </w:pPr>
          </w:p>
        </w:tc>
      </w:tr>
      <w:tr w:rsidR="008B1649" w:rsidRPr="008B1649" w14:paraId="127FA3B7" w14:textId="77777777" w:rsidTr="00E463A2">
        <w:trPr>
          <w:trHeight w:val="548"/>
          <w:jc w:val="center"/>
        </w:trPr>
        <w:tc>
          <w:tcPr>
            <w:tcW w:w="562" w:type="dxa"/>
            <w:shd w:val="clear" w:color="auto" w:fill="auto"/>
            <w:tcMar>
              <w:left w:w="93" w:type="dxa"/>
            </w:tcMar>
          </w:tcPr>
          <w:p w14:paraId="2A855E1D" w14:textId="77777777" w:rsidR="00104F94" w:rsidRPr="008B1649" w:rsidRDefault="00241043" w:rsidP="000503CE">
            <w:pPr>
              <w:spacing w:after="0" w:line="240" w:lineRule="auto"/>
              <w:jc w:val="center"/>
              <w:rPr>
                <w:b/>
                <w:color w:val="auto"/>
              </w:rPr>
            </w:pPr>
            <w:r>
              <w:rPr>
                <w:b/>
                <w:color w:val="auto"/>
              </w:rPr>
              <w:t>11</w:t>
            </w:r>
          </w:p>
        </w:tc>
        <w:tc>
          <w:tcPr>
            <w:tcW w:w="5655" w:type="dxa"/>
            <w:shd w:val="clear" w:color="auto" w:fill="auto"/>
            <w:tcMar>
              <w:left w:w="93" w:type="dxa"/>
            </w:tcMar>
          </w:tcPr>
          <w:p w14:paraId="597851DB" w14:textId="1954060D" w:rsidR="00104F94" w:rsidRPr="008B1649" w:rsidRDefault="00104F94" w:rsidP="000503CE">
            <w:pPr>
              <w:suppressAutoHyphens/>
              <w:spacing w:before="58" w:after="0" w:line="240" w:lineRule="auto"/>
              <w:ind w:left="144"/>
              <w:jc w:val="both"/>
              <w:rPr>
                <w:i/>
                <w:color w:val="auto"/>
              </w:rPr>
            </w:pPr>
            <w:r>
              <w:rPr>
                <w:rFonts w:ascii="Times New Roman" w:hAnsi="Times New Roman"/>
                <w:i/>
                <w:color w:val="auto"/>
              </w:rPr>
              <w:t xml:space="preserve">Granting power of attorney to Mr. Eugen </w:t>
            </w:r>
            <w:proofErr w:type="spellStart"/>
            <w:r>
              <w:rPr>
                <w:rFonts w:ascii="Times New Roman" w:hAnsi="Times New Roman"/>
                <w:i/>
                <w:color w:val="auto"/>
              </w:rPr>
              <w:t>Scheusan</w:t>
            </w:r>
            <w:proofErr w:type="spellEnd"/>
            <w:r>
              <w:rPr>
                <w:rFonts w:ascii="Times New Roman" w:hAnsi="Times New Roman"/>
                <w:i/>
                <w:color w:val="auto"/>
              </w:rPr>
              <w:t xml:space="preserve"> – Chairman of the Board of Directors, with the right to delegate the performance of this mandate: </w:t>
            </w:r>
            <w:proofErr w:type="spellStart"/>
            <w:r>
              <w:rPr>
                <w:rFonts w:ascii="Times New Roman" w:hAnsi="Times New Roman"/>
                <w:i/>
                <w:color w:val="auto"/>
              </w:rPr>
              <w:t>i</w:t>
            </w:r>
            <w:proofErr w:type="spellEnd"/>
            <w:r>
              <w:rPr>
                <w:rFonts w:ascii="Times New Roman" w:hAnsi="Times New Roman"/>
                <w:i/>
                <w:color w:val="auto"/>
              </w:rPr>
              <w:t>) to execute and/or sign, on behalf of the Company and/or the Company shareholders, the resolutions of this AGOA and any and all resolutions, documents, applications, forms and requests adopted/drawn up for the purposes or for the enforcement of the resolutions of this AGOA in relation to any natural or legal person, whether private or public, in order to ii) carry out all the legal formalities for the registration, enforceability, enforcement and publication of the adopted resolutions.</w:t>
            </w:r>
          </w:p>
        </w:tc>
        <w:tc>
          <w:tcPr>
            <w:tcW w:w="1068" w:type="dxa"/>
            <w:shd w:val="clear" w:color="auto" w:fill="auto"/>
            <w:tcMar>
              <w:left w:w="93" w:type="dxa"/>
            </w:tcMar>
          </w:tcPr>
          <w:p w14:paraId="77E917CC" w14:textId="77777777" w:rsidR="00104F94" w:rsidRPr="008B1649" w:rsidRDefault="00104F94" w:rsidP="000503CE">
            <w:pPr>
              <w:spacing w:after="0" w:line="240" w:lineRule="auto"/>
              <w:rPr>
                <w:b/>
                <w:color w:val="auto"/>
                <w:sz w:val="24"/>
                <w:szCs w:val="24"/>
              </w:rPr>
            </w:pPr>
          </w:p>
        </w:tc>
        <w:tc>
          <w:tcPr>
            <w:tcW w:w="1080" w:type="dxa"/>
            <w:shd w:val="clear" w:color="auto" w:fill="auto"/>
            <w:tcMar>
              <w:left w:w="93" w:type="dxa"/>
            </w:tcMar>
          </w:tcPr>
          <w:p w14:paraId="4442D3C3" w14:textId="77777777" w:rsidR="00104F94" w:rsidRPr="008B1649" w:rsidRDefault="00104F94" w:rsidP="000503CE">
            <w:pPr>
              <w:spacing w:after="0" w:line="240" w:lineRule="auto"/>
              <w:rPr>
                <w:b/>
                <w:color w:val="auto"/>
                <w:sz w:val="24"/>
                <w:szCs w:val="24"/>
              </w:rPr>
            </w:pPr>
          </w:p>
        </w:tc>
        <w:tc>
          <w:tcPr>
            <w:tcW w:w="1380" w:type="dxa"/>
            <w:shd w:val="clear" w:color="auto" w:fill="auto"/>
            <w:tcMar>
              <w:left w:w="93" w:type="dxa"/>
            </w:tcMar>
          </w:tcPr>
          <w:p w14:paraId="52C2B3FC" w14:textId="77777777" w:rsidR="00104F94" w:rsidRPr="008B1649" w:rsidRDefault="00104F94" w:rsidP="000503CE">
            <w:pPr>
              <w:spacing w:after="0" w:line="240" w:lineRule="auto"/>
              <w:rPr>
                <w:b/>
                <w:color w:val="auto"/>
                <w:sz w:val="24"/>
                <w:szCs w:val="24"/>
              </w:rPr>
            </w:pPr>
          </w:p>
        </w:tc>
      </w:tr>
    </w:tbl>
    <w:p w14:paraId="45B85CCD" w14:textId="77777777" w:rsidR="00A77D79" w:rsidRPr="008B1649" w:rsidRDefault="00A77D79">
      <w:pPr>
        <w:rPr>
          <w:color w:val="auto"/>
        </w:rPr>
      </w:pPr>
    </w:p>
    <w:sectPr w:rsidR="00A77D79" w:rsidRPr="008B1649">
      <w:footerReference w:type="default" r:id="rId7"/>
      <w:pgSz w:w="11909" w:h="16834"/>
      <w:pgMar w:top="1440" w:right="1080" w:bottom="1440" w:left="1080" w:header="0" w:footer="57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7BB4" w14:textId="77777777" w:rsidR="00A2169F" w:rsidRDefault="00A2169F">
      <w:pPr>
        <w:spacing w:after="0" w:line="240" w:lineRule="auto"/>
      </w:pPr>
      <w:r>
        <w:separator/>
      </w:r>
    </w:p>
  </w:endnote>
  <w:endnote w:type="continuationSeparator" w:id="0">
    <w:p w14:paraId="41D7756B" w14:textId="77777777" w:rsidR="00A2169F" w:rsidRDefault="00A2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8104"/>
      <w:docPartObj>
        <w:docPartGallery w:val="Page Numbers (Bottom of Page)"/>
        <w:docPartUnique/>
      </w:docPartObj>
    </w:sdtPr>
    <w:sdtEndPr/>
    <w:sdtContent>
      <w:p w14:paraId="2BCE1533" w14:textId="77777777" w:rsidR="00A77D79" w:rsidRDefault="00D83499">
        <w:pPr>
          <w:pStyle w:val="Subsol"/>
          <w:jc w:val="center"/>
        </w:pPr>
        <w:r>
          <w:t>2</w:t>
        </w:r>
      </w:p>
    </w:sdtContent>
  </w:sdt>
  <w:p w14:paraId="1C10231E" w14:textId="77777777" w:rsidR="00A77D79" w:rsidRDefault="00A77D7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B19D" w14:textId="77777777" w:rsidR="00A2169F" w:rsidRDefault="00A2169F">
      <w:r>
        <w:separator/>
      </w:r>
    </w:p>
  </w:footnote>
  <w:footnote w:type="continuationSeparator" w:id="0">
    <w:p w14:paraId="6EB52846" w14:textId="77777777" w:rsidR="00A2169F" w:rsidRDefault="00A2169F">
      <w:r>
        <w:continuationSeparator/>
      </w:r>
    </w:p>
  </w:footnote>
  <w:footnote w:id="1">
    <w:p w14:paraId="6260F293" w14:textId="77777777" w:rsidR="00A77D79" w:rsidRDefault="00D83499">
      <w:pPr>
        <w:pStyle w:val="Textnotdesubsol"/>
      </w:pPr>
      <w:r>
        <w:rPr>
          <w:rStyle w:val="Referinnotdesubsol"/>
        </w:rPr>
        <w:footnoteRef/>
      </w:r>
      <w:r>
        <w:rPr>
          <w:rStyle w:val="Referinnotdesubsol"/>
        </w:rPr>
        <w:tab/>
      </w:r>
      <w:r>
        <w:t xml:space="preserve"> Indicate your vote for every point on the agenda by checking with an X the box corresponding to your option. If no box is checked, it shall be deemed that the vote was not expressed, and if several options are checked for the same point, the vote shall be deemed to be null and void.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79"/>
    <w:rsid w:val="000503CE"/>
    <w:rsid w:val="00104F94"/>
    <w:rsid w:val="001345C1"/>
    <w:rsid w:val="00183412"/>
    <w:rsid w:val="00241043"/>
    <w:rsid w:val="002E1C76"/>
    <w:rsid w:val="003738D7"/>
    <w:rsid w:val="00381DDB"/>
    <w:rsid w:val="00382956"/>
    <w:rsid w:val="00547802"/>
    <w:rsid w:val="00583EDA"/>
    <w:rsid w:val="005E19C9"/>
    <w:rsid w:val="006300F0"/>
    <w:rsid w:val="00681C9C"/>
    <w:rsid w:val="0069564E"/>
    <w:rsid w:val="006C08C1"/>
    <w:rsid w:val="0071793A"/>
    <w:rsid w:val="00783B9F"/>
    <w:rsid w:val="007A0BA8"/>
    <w:rsid w:val="008B1649"/>
    <w:rsid w:val="00921A56"/>
    <w:rsid w:val="009452A0"/>
    <w:rsid w:val="009F35C9"/>
    <w:rsid w:val="00A2169F"/>
    <w:rsid w:val="00A23D3A"/>
    <w:rsid w:val="00A65B9D"/>
    <w:rsid w:val="00A77D79"/>
    <w:rsid w:val="00AC6B32"/>
    <w:rsid w:val="00B20964"/>
    <w:rsid w:val="00B45DCC"/>
    <w:rsid w:val="00B95C64"/>
    <w:rsid w:val="00BF6680"/>
    <w:rsid w:val="00BF7EF2"/>
    <w:rsid w:val="00C70038"/>
    <w:rsid w:val="00D83499"/>
    <w:rsid w:val="00E463A2"/>
    <w:rsid w:val="00E739F1"/>
    <w:rsid w:val="00EE638E"/>
    <w:rsid w:val="00FA0610"/>
    <w:rsid w:val="00FC3A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0026"/>
  <w15:docId w15:val="{821D0000-F9F4-4623-9ABC-6752811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B6"/>
    <w:pPr>
      <w:spacing w:after="200" w:line="276" w:lineRule="auto"/>
    </w:pPr>
    <w:rPr>
      <w:color w:val="00000A"/>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344C75"/>
    <w:rPr>
      <w:lang w:val="en-GB"/>
    </w:rPr>
  </w:style>
  <w:style w:type="character" w:customStyle="1" w:styleId="AntetCaracter">
    <w:name w:val="Antet Caracter"/>
    <w:basedOn w:val="Fontdeparagrafimplicit"/>
    <w:link w:val="Antet"/>
    <w:uiPriority w:val="99"/>
    <w:qFormat/>
    <w:rsid w:val="001B52F2"/>
    <w:rPr>
      <w:lang w:val="en-GB"/>
    </w:rPr>
  </w:style>
  <w:style w:type="character" w:customStyle="1" w:styleId="SubsolCaracter">
    <w:name w:val="Subsol Caracter"/>
    <w:basedOn w:val="Fontdeparagrafimplicit"/>
    <w:link w:val="Subsol"/>
    <w:uiPriority w:val="99"/>
    <w:qFormat/>
    <w:rsid w:val="001B52F2"/>
    <w:rPr>
      <w:lang w:val="en-GB"/>
    </w:rPr>
  </w:style>
  <w:style w:type="character" w:customStyle="1" w:styleId="TextnotdefinalCaracter">
    <w:name w:val="Text notă de final Caracter"/>
    <w:basedOn w:val="Fontdeparagrafimplicit"/>
    <w:link w:val="Textnotdefinal"/>
    <w:uiPriority w:val="99"/>
    <w:semiHidden/>
    <w:qFormat/>
    <w:rsid w:val="00940F20"/>
    <w:rPr>
      <w:sz w:val="20"/>
      <w:szCs w:val="20"/>
      <w:lang w:val="en-GB"/>
    </w:rPr>
  </w:style>
  <w:style w:type="character" w:styleId="Referinnotdefinal">
    <w:name w:val="endnote reference"/>
    <w:basedOn w:val="Fontdeparagrafimplicit"/>
    <w:uiPriority w:val="99"/>
    <w:semiHidden/>
    <w:unhideWhenUsed/>
    <w:qFormat/>
    <w:rsid w:val="00940F20"/>
    <w:rPr>
      <w:vertAlign w:val="superscript"/>
    </w:rPr>
  </w:style>
  <w:style w:type="character" w:customStyle="1" w:styleId="TextnotdesubsolCaracter">
    <w:name w:val="Text notă de subsol Caracter"/>
    <w:basedOn w:val="Fontdeparagrafimplicit"/>
    <w:link w:val="Textnotdesubsol"/>
    <w:uiPriority w:val="99"/>
    <w:semiHidden/>
    <w:qFormat/>
    <w:rsid w:val="00DA3CA8"/>
    <w:rPr>
      <w:sz w:val="20"/>
      <w:szCs w:val="20"/>
      <w:lang w:val="en-GB"/>
    </w:rPr>
  </w:style>
  <w:style w:type="character" w:styleId="Referinnotdesubsol">
    <w:name w:val="footnote reference"/>
    <w:basedOn w:val="Fontdeparagrafimplicit"/>
    <w:uiPriority w:val="99"/>
    <w:semiHidden/>
    <w:unhideWhenUsed/>
    <w:qFormat/>
    <w:rsid w:val="009B13D1"/>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344C75"/>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BF1B41"/>
    <w:pPr>
      <w:ind w:left="720"/>
      <w:contextualSpacing/>
    </w:pPr>
  </w:style>
  <w:style w:type="paragraph" w:styleId="Antet">
    <w:name w:val="header"/>
    <w:basedOn w:val="Normal"/>
    <w:link w:val="AntetCaracter"/>
    <w:uiPriority w:val="99"/>
    <w:unhideWhenUsed/>
    <w:rsid w:val="001B52F2"/>
    <w:pPr>
      <w:tabs>
        <w:tab w:val="center" w:pos="4680"/>
        <w:tab w:val="right" w:pos="9360"/>
      </w:tabs>
      <w:spacing w:after="0" w:line="240" w:lineRule="auto"/>
    </w:pPr>
  </w:style>
  <w:style w:type="paragraph" w:styleId="Subsol">
    <w:name w:val="footer"/>
    <w:basedOn w:val="Normal"/>
    <w:link w:val="SubsolCaracter"/>
    <w:uiPriority w:val="99"/>
    <w:unhideWhenUsed/>
    <w:rsid w:val="001B52F2"/>
    <w:pPr>
      <w:tabs>
        <w:tab w:val="center" w:pos="4680"/>
        <w:tab w:val="right" w:pos="9360"/>
      </w:tabs>
      <w:spacing w:after="0" w:line="240" w:lineRule="auto"/>
    </w:pPr>
  </w:style>
  <w:style w:type="paragraph" w:styleId="Textnotdefinal">
    <w:name w:val="endnote text"/>
    <w:basedOn w:val="Normal"/>
    <w:link w:val="TextnotdefinalCaracter"/>
    <w:uiPriority w:val="99"/>
    <w:semiHidden/>
    <w:unhideWhenUsed/>
    <w:qFormat/>
    <w:rsid w:val="00940F20"/>
    <w:pPr>
      <w:spacing w:after="0" w:line="240" w:lineRule="auto"/>
    </w:pPr>
    <w:rPr>
      <w:sz w:val="20"/>
      <w:szCs w:val="20"/>
    </w:rPr>
  </w:style>
  <w:style w:type="paragraph" w:styleId="Textnotdesubsol">
    <w:name w:val="footnote text"/>
    <w:basedOn w:val="Normal"/>
    <w:link w:val="TextnotdesubsolCaracter"/>
  </w:style>
  <w:style w:type="paragraph" w:styleId="NormalWeb">
    <w:name w:val="Normal (Web)"/>
    <w:basedOn w:val="Normal"/>
    <w:uiPriority w:val="99"/>
    <w:unhideWhenUsed/>
    <w:qFormat/>
    <w:rsid w:val="0012750A"/>
    <w:pPr>
      <w:spacing w:beforeAutospacing="1"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738D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8D7"/>
    <w:rPr>
      <w:rFonts w:ascii="Segoe UI" w:hAnsi="Segoe UI" w:cs="Segoe U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765C-B370-464C-A44C-7F52FF1B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2734</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Antoaneta</cp:lastModifiedBy>
  <cp:revision>11</cp:revision>
  <cp:lastPrinted>2019-04-19T11:29:00Z</cp:lastPrinted>
  <dcterms:created xsi:type="dcterms:W3CDTF">2021-04-09T10:52:00Z</dcterms:created>
  <dcterms:modified xsi:type="dcterms:W3CDTF">2021-04-26T08:28:00Z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