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79" w:rsidRPr="00BD28CD" w:rsidRDefault="00BD28CD">
      <w:pPr>
        <w:jc w:val="right"/>
        <w:rPr>
          <w:b/>
          <w:color w:val="auto"/>
          <w:sz w:val="24"/>
          <w:lang w:val="en-GB"/>
        </w:rPr>
      </w:pPr>
      <w:r w:rsidRPr="00BD28CD">
        <w:rPr>
          <w:b/>
          <w:color w:val="auto"/>
          <w:sz w:val="26"/>
          <w:szCs w:val="26"/>
          <w:lang w:val="en-GB"/>
        </w:rPr>
        <w:t xml:space="preserve">Ballot paper no. </w:t>
      </w:r>
      <w:r w:rsidR="00D83499" w:rsidRPr="00BD28CD">
        <w:rPr>
          <w:b/>
          <w:color w:val="auto"/>
          <w:sz w:val="24"/>
          <w:lang w:val="en-GB"/>
        </w:rPr>
        <w:t>........</w:t>
      </w:r>
    </w:p>
    <w:p w:rsidR="00A77D79" w:rsidRPr="00BD28CD" w:rsidRDefault="00BD28CD" w:rsidP="00B24526">
      <w:pPr>
        <w:jc w:val="center"/>
        <w:rPr>
          <w:color w:val="auto"/>
          <w:sz w:val="28"/>
          <w:szCs w:val="28"/>
          <w:lang w:val="en-GB"/>
        </w:rPr>
      </w:pPr>
      <w:r w:rsidRPr="00BD28CD">
        <w:rPr>
          <w:b/>
          <w:color w:val="auto"/>
          <w:sz w:val="26"/>
          <w:szCs w:val="26"/>
          <w:lang w:val="en-GB"/>
        </w:rPr>
        <w:t>Ballot paper</w:t>
      </w:r>
      <w:r w:rsidR="00D83499" w:rsidRPr="00BD28CD">
        <w:rPr>
          <w:rStyle w:val="FootnoteAnchor"/>
          <w:b/>
          <w:color w:val="auto"/>
          <w:sz w:val="26"/>
          <w:szCs w:val="26"/>
          <w:lang w:val="en-GB"/>
        </w:rPr>
        <w:footnoteReference w:id="1"/>
      </w:r>
      <w:r w:rsidR="00E01A1A" w:rsidRPr="00BD28CD">
        <w:rPr>
          <w:b/>
          <w:color w:val="auto"/>
          <w:sz w:val="26"/>
          <w:szCs w:val="26"/>
          <w:lang w:val="en-GB"/>
        </w:rPr>
        <w:t xml:space="preserve"> </w:t>
      </w:r>
      <w:r w:rsidRPr="00BD28CD">
        <w:rPr>
          <w:b/>
          <w:color w:val="auto"/>
          <w:sz w:val="26"/>
          <w:szCs w:val="26"/>
          <w:lang w:val="en-GB"/>
        </w:rPr>
        <w:t>for</w:t>
      </w:r>
      <w:r w:rsidR="00E01A1A" w:rsidRPr="00BD28CD">
        <w:rPr>
          <w:b/>
          <w:color w:val="auto"/>
          <w:sz w:val="26"/>
          <w:szCs w:val="26"/>
          <w:lang w:val="en-GB"/>
        </w:rPr>
        <w:t xml:space="preserve"> </w:t>
      </w:r>
      <w:r w:rsidR="0081720A">
        <w:rPr>
          <w:b/>
          <w:color w:val="auto"/>
          <w:sz w:val="26"/>
          <w:szCs w:val="26"/>
          <w:lang w:val="en-GB"/>
        </w:rPr>
        <w:t>AG</w:t>
      </w:r>
      <w:r w:rsidR="00C91317">
        <w:rPr>
          <w:b/>
          <w:color w:val="auto"/>
          <w:sz w:val="26"/>
          <w:szCs w:val="26"/>
          <w:lang w:val="en-GB"/>
        </w:rPr>
        <w:t>E</w:t>
      </w:r>
      <w:r w:rsidR="0081720A">
        <w:rPr>
          <w:b/>
          <w:color w:val="auto"/>
          <w:sz w:val="26"/>
          <w:szCs w:val="26"/>
          <w:lang w:val="en-GB"/>
        </w:rPr>
        <w:t>A</w:t>
      </w:r>
      <w:r w:rsidR="002E1C76" w:rsidRPr="00BD28CD">
        <w:rPr>
          <w:b/>
          <w:color w:val="auto"/>
          <w:sz w:val="26"/>
          <w:szCs w:val="26"/>
          <w:lang w:val="en-GB"/>
        </w:rPr>
        <w:t xml:space="preserve"> Electromagnetica </w:t>
      </w:r>
      <w:r w:rsidRPr="00BD28CD">
        <w:rPr>
          <w:b/>
          <w:color w:val="auto"/>
          <w:sz w:val="26"/>
          <w:szCs w:val="26"/>
          <w:lang w:val="en-GB"/>
        </w:rPr>
        <w:t>of</w:t>
      </w:r>
      <w:r w:rsidR="002E1C76" w:rsidRPr="00BD28CD">
        <w:rPr>
          <w:b/>
          <w:color w:val="auto"/>
          <w:sz w:val="26"/>
          <w:szCs w:val="26"/>
          <w:lang w:val="en-GB"/>
        </w:rPr>
        <w:t xml:space="preserve"> 28</w:t>
      </w:r>
      <w:r w:rsidR="00D83499" w:rsidRPr="00BD28CD">
        <w:rPr>
          <w:b/>
          <w:color w:val="auto"/>
          <w:sz w:val="26"/>
          <w:szCs w:val="26"/>
          <w:lang w:val="en-GB"/>
        </w:rPr>
        <w:t xml:space="preserve"> </w:t>
      </w:r>
      <w:r w:rsidRPr="00BD28CD">
        <w:rPr>
          <w:b/>
          <w:color w:val="auto"/>
          <w:sz w:val="26"/>
          <w:szCs w:val="26"/>
          <w:lang w:val="en-GB"/>
        </w:rPr>
        <w:t>April</w:t>
      </w:r>
      <w:r w:rsidR="00954CAE">
        <w:rPr>
          <w:b/>
          <w:color w:val="auto"/>
          <w:sz w:val="26"/>
          <w:szCs w:val="26"/>
          <w:lang w:val="en-GB"/>
        </w:rPr>
        <w:t xml:space="preserve"> 2020</w:t>
      </w:r>
      <w:r w:rsidR="00EF3284" w:rsidRPr="00BD28CD">
        <w:rPr>
          <w:b/>
          <w:color w:val="auto"/>
          <w:sz w:val="26"/>
          <w:szCs w:val="26"/>
          <w:lang w:val="en-GB"/>
        </w:rPr>
        <w:t xml:space="preserve">, </w:t>
      </w:r>
      <w:r w:rsidR="0081720A">
        <w:rPr>
          <w:b/>
          <w:color w:val="auto"/>
          <w:sz w:val="26"/>
          <w:szCs w:val="26"/>
          <w:lang w:val="en-GB"/>
        </w:rPr>
        <w:t>1</w:t>
      </w:r>
      <w:r w:rsidR="00C91317">
        <w:rPr>
          <w:b/>
          <w:color w:val="auto"/>
          <w:sz w:val="26"/>
          <w:szCs w:val="26"/>
          <w:lang w:val="en-GB"/>
        </w:rPr>
        <w:t>4</w:t>
      </w:r>
      <w:r w:rsidR="00D83499" w:rsidRPr="00BD28CD">
        <w:rPr>
          <w:b/>
          <w:color w:val="auto"/>
          <w:sz w:val="26"/>
          <w:szCs w:val="26"/>
          <w:lang w:val="en-GB"/>
        </w:rPr>
        <w:t>:00</w:t>
      </w:r>
      <w:r w:rsidRPr="00BD28CD">
        <w:rPr>
          <w:b/>
          <w:color w:val="auto"/>
          <w:sz w:val="26"/>
          <w:szCs w:val="26"/>
          <w:lang w:val="en-GB"/>
        </w:rPr>
        <w:t xml:space="preserve"> </w:t>
      </w:r>
    </w:p>
    <w:p w:rsidR="00A77D79" w:rsidRPr="00BD28CD" w:rsidRDefault="00A77D79">
      <w:pPr>
        <w:rPr>
          <w:color w:val="auto"/>
          <w:lang w:val="en-GB"/>
        </w:rPr>
      </w:pPr>
    </w:p>
    <w:p w:rsidR="00A77D79" w:rsidRPr="00BD28CD" w:rsidRDefault="00BD28CD" w:rsidP="0081720A">
      <w:pPr>
        <w:rPr>
          <w:color w:val="auto"/>
          <w:lang w:val="en-GB"/>
        </w:rPr>
      </w:pPr>
      <w:r w:rsidRPr="00BD28CD">
        <w:rPr>
          <w:color w:val="auto"/>
          <w:lang w:val="en-GB"/>
        </w:rPr>
        <w:t xml:space="preserve">Number of shares held on the reference </w:t>
      </w:r>
      <w:r>
        <w:rPr>
          <w:color w:val="auto"/>
          <w:lang w:val="en-GB"/>
        </w:rPr>
        <w:t xml:space="preserve">date </w:t>
      </w:r>
      <w:r w:rsidR="002E1C76" w:rsidRPr="00BD28CD">
        <w:rPr>
          <w:b/>
          <w:color w:val="auto"/>
          <w:lang w:val="en-GB"/>
        </w:rPr>
        <w:t>16</w:t>
      </w:r>
      <w:r w:rsidR="00EE638E" w:rsidRPr="00BD28CD">
        <w:rPr>
          <w:b/>
          <w:color w:val="auto"/>
          <w:lang w:val="en-GB"/>
        </w:rPr>
        <w:t xml:space="preserve"> </w:t>
      </w:r>
      <w:r>
        <w:rPr>
          <w:b/>
          <w:color w:val="auto"/>
          <w:lang w:val="en-GB"/>
        </w:rPr>
        <w:t>April</w:t>
      </w:r>
      <w:r w:rsidR="00072FD5">
        <w:rPr>
          <w:b/>
          <w:color w:val="auto"/>
          <w:lang w:val="en-GB"/>
        </w:rPr>
        <w:t xml:space="preserve"> 2020</w:t>
      </w:r>
      <w:bookmarkStart w:id="0" w:name="_GoBack"/>
      <w:bookmarkEnd w:id="0"/>
      <w:r w:rsidR="00D83499" w:rsidRPr="00BD28CD">
        <w:rPr>
          <w:color w:val="auto"/>
          <w:lang w:val="en-GB"/>
        </w:rPr>
        <w:t xml:space="preserve"> </w:t>
      </w:r>
      <w:r>
        <w:rPr>
          <w:color w:val="auto"/>
          <w:lang w:val="en-GB"/>
        </w:rPr>
        <w:t>and</w:t>
      </w:r>
      <w:r w:rsidR="00D83499" w:rsidRPr="00BD28CD">
        <w:rPr>
          <w:color w:val="auto"/>
          <w:lang w:val="en-GB"/>
        </w:rPr>
        <w:t>/</w:t>
      </w:r>
      <w:r>
        <w:rPr>
          <w:color w:val="auto"/>
          <w:lang w:val="en-GB"/>
        </w:rPr>
        <w:t xml:space="preserve"> or represented shares</w:t>
      </w:r>
      <w:r w:rsidR="00D83499" w:rsidRPr="00BD28CD">
        <w:rPr>
          <w:color w:val="auto"/>
          <w:lang w:val="en-GB"/>
        </w:rPr>
        <w:t>:</w:t>
      </w:r>
      <w:r>
        <w:rPr>
          <w:color w:val="auto"/>
          <w:lang w:val="en-GB"/>
        </w:rPr>
        <w:t xml:space="preserve"> </w:t>
      </w:r>
      <w:r w:rsidR="00D83499" w:rsidRPr="00BD28CD">
        <w:rPr>
          <w:color w:val="auto"/>
          <w:lang w:val="en-GB"/>
        </w:rPr>
        <w:t>...........</w:t>
      </w:r>
      <w:r w:rsidR="00682C76">
        <w:rPr>
          <w:color w:val="auto"/>
          <w:lang w:val="en-GB"/>
        </w:rPr>
        <w:t>.....................</w:t>
      </w:r>
    </w:p>
    <w:p w:rsidR="00A77D79" w:rsidRPr="00BD28CD" w:rsidRDefault="00BD28CD">
      <w:pPr>
        <w:rPr>
          <w:color w:val="auto"/>
          <w:lang w:val="en-GB"/>
        </w:rPr>
      </w:pPr>
      <w:r>
        <w:rPr>
          <w:color w:val="auto"/>
          <w:lang w:val="en-GB"/>
        </w:rPr>
        <w:t>Number of voting rights</w:t>
      </w:r>
      <w:r w:rsidR="00D83499" w:rsidRPr="00BD28CD">
        <w:rPr>
          <w:color w:val="auto"/>
          <w:lang w:val="en-GB"/>
        </w:rPr>
        <w:t>:..................................................</w:t>
      </w:r>
    </w:p>
    <w:tbl>
      <w:tblPr>
        <w:tblStyle w:val="TableGrid"/>
        <w:tblW w:w="5370" w:type="pct"/>
        <w:jc w:val="center"/>
        <w:tblLayout w:type="fixed"/>
        <w:tblCellMar>
          <w:left w:w="93" w:type="dxa"/>
        </w:tblCellMar>
        <w:tblLook w:val="04A0" w:firstRow="1" w:lastRow="0" w:firstColumn="1" w:lastColumn="0" w:noHBand="0" w:noVBand="1"/>
      </w:tblPr>
      <w:tblGrid>
        <w:gridCol w:w="625"/>
        <w:gridCol w:w="6175"/>
        <w:gridCol w:w="1159"/>
        <w:gridCol w:w="1303"/>
        <w:gridCol w:w="1424"/>
      </w:tblGrid>
      <w:tr w:rsidR="007A4F98" w:rsidRPr="00BD28CD" w:rsidTr="0081720A">
        <w:trPr>
          <w:trHeight w:val="276"/>
          <w:tblHeader/>
          <w:jc w:val="center"/>
        </w:trPr>
        <w:tc>
          <w:tcPr>
            <w:tcW w:w="625" w:type="dxa"/>
            <w:shd w:val="clear" w:color="auto" w:fill="auto"/>
            <w:tcMar>
              <w:left w:w="93" w:type="dxa"/>
            </w:tcMar>
          </w:tcPr>
          <w:p w:rsidR="00C70038" w:rsidRPr="00BD28CD" w:rsidRDefault="00BD28CD" w:rsidP="0079758E">
            <w:pPr>
              <w:spacing w:after="0" w:line="240" w:lineRule="auto"/>
              <w:rPr>
                <w:b/>
                <w:color w:val="auto"/>
                <w:lang w:val="en-GB"/>
              </w:rPr>
            </w:pPr>
            <w:r>
              <w:rPr>
                <w:b/>
                <w:color w:val="auto"/>
                <w:lang w:val="en-GB"/>
              </w:rPr>
              <w:t>Ref. no.</w:t>
            </w:r>
          </w:p>
        </w:tc>
        <w:tc>
          <w:tcPr>
            <w:tcW w:w="6175" w:type="dxa"/>
            <w:shd w:val="clear" w:color="auto" w:fill="auto"/>
            <w:tcMar>
              <w:left w:w="93" w:type="dxa"/>
            </w:tcMar>
          </w:tcPr>
          <w:p w:rsidR="00C70038" w:rsidRPr="00BD28CD" w:rsidRDefault="00BD28CD" w:rsidP="0079758E">
            <w:pPr>
              <w:spacing w:before="58" w:after="0" w:line="240" w:lineRule="auto"/>
              <w:ind w:left="144"/>
              <w:rPr>
                <w:b/>
                <w:color w:val="auto"/>
                <w:lang w:val="en-GB"/>
              </w:rPr>
            </w:pPr>
            <w:r>
              <w:rPr>
                <w:b/>
                <w:color w:val="auto"/>
                <w:sz w:val="24"/>
                <w:szCs w:val="24"/>
                <w:lang w:val="en-GB"/>
              </w:rPr>
              <w:t xml:space="preserve">Decision </w:t>
            </w:r>
          </w:p>
        </w:tc>
        <w:tc>
          <w:tcPr>
            <w:tcW w:w="1159" w:type="dxa"/>
            <w:shd w:val="clear" w:color="auto" w:fill="auto"/>
            <w:tcMar>
              <w:left w:w="93" w:type="dxa"/>
            </w:tcMar>
          </w:tcPr>
          <w:p w:rsidR="00BD28CD" w:rsidRDefault="00C70038" w:rsidP="00BD28CD">
            <w:pPr>
              <w:spacing w:after="0" w:line="240" w:lineRule="auto"/>
              <w:rPr>
                <w:b/>
                <w:color w:val="auto"/>
                <w:sz w:val="24"/>
                <w:szCs w:val="24"/>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p>
          <w:p w:rsidR="00C70038" w:rsidRPr="00BD28CD" w:rsidRDefault="00BD28CD" w:rsidP="00BD28CD">
            <w:pPr>
              <w:spacing w:after="0" w:line="240" w:lineRule="auto"/>
              <w:rPr>
                <w:b/>
                <w:color w:val="auto"/>
                <w:lang w:val="en-GB"/>
              </w:rPr>
            </w:pPr>
            <w:r>
              <w:rPr>
                <w:b/>
                <w:i/>
                <w:color w:val="auto"/>
                <w:sz w:val="24"/>
                <w:szCs w:val="24"/>
                <w:lang w:val="en-GB"/>
              </w:rPr>
              <w:t>For</w:t>
            </w:r>
          </w:p>
        </w:tc>
        <w:tc>
          <w:tcPr>
            <w:tcW w:w="1303" w:type="dxa"/>
            <w:shd w:val="clear" w:color="auto" w:fill="auto"/>
            <w:tcMar>
              <w:left w:w="93" w:type="dxa"/>
            </w:tcMar>
          </w:tcPr>
          <w:p w:rsidR="00C70038" w:rsidRPr="00BD28CD" w:rsidRDefault="00C70038" w:rsidP="00BD28CD">
            <w:pPr>
              <w:spacing w:after="0" w:line="240" w:lineRule="auto"/>
              <w:rPr>
                <w:b/>
                <w:color w:val="auto"/>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r w:rsidR="00BD28CD">
              <w:rPr>
                <w:b/>
                <w:i/>
                <w:color w:val="auto"/>
                <w:sz w:val="24"/>
                <w:szCs w:val="24"/>
                <w:lang w:val="en-GB"/>
              </w:rPr>
              <w:t xml:space="preserve">Against </w:t>
            </w:r>
          </w:p>
        </w:tc>
        <w:tc>
          <w:tcPr>
            <w:tcW w:w="1424" w:type="dxa"/>
            <w:shd w:val="clear" w:color="auto" w:fill="auto"/>
            <w:tcMar>
              <w:left w:w="93" w:type="dxa"/>
            </w:tcMar>
          </w:tcPr>
          <w:p w:rsidR="00C70038" w:rsidRPr="00BD28CD" w:rsidRDefault="00C70038" w:rsidP="00BD28CD">
            <w:pPr>
              <w:spacing w:after="0" w:line="240" w:lineRule="auto"/>
              <w:rPr>
                <w:b/>
                <w:color w:val="auto"/>
                <w:lang w:val="en-GB"/>
              </w:rPr>
            </w:pPr>
            <w:r w:rsidRPr="00BD28CD">
              <w:rPr>
                <w:b/>
                <w:color w:val="auto"/>
                <w:sz w:val="24"/>
                <w:szCs w:val="24"/>
                <w:lang w:val="en-GB"/>
              </w:rPr>
              <w:t>Vot</w:t>
            </w:r>
            <w:r w:rsidR="00BD28CD">
              <w:rPr>
                <w:b/>
                <w:color w:val="auto"/>
                <w:sz w:val="24"/>
                <w:szCs w:val="24"/>
                <w:lang w:val="en-GB"/>
              </w:rPr>
              <w:t>e</w:t>
            </w:r>
            <w:r w:rsidRPr="00BD28CD">
              <w:rPr>
                <w:b/>
                <w:color w:val="auto"/>
                <w:sz w:val="24"/>
                <w:szCs w:val="24"/>
                <w:lang w:val="en-GB"/>
              </w:rPr>
              <w:t xml:space="preserve"> </w:t>
            </w:r>
            <w:r w:rsidR="00BD28CD">
              <w:rPr>
                <w:b/>
                <w:i/>
                <w:color w:val="auto"/>
                <w:sz w:val="24"/>
                <w:szCs w:val="24"/>
                <w:lang w:val="en-GB"/>
              </w:rPr>
              <w:t xml:space="preserve">Abstention </w:t>
            </w:r>
          </w:p>
        </w:tc>
      </w:tr>
      <w:tr w:rsidR="007A4F98" w:rsidRPr="00BD28CD" w:rsidTr="0081720A">
        <w:trPr>
          <w:trHeight w:val="292"/>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1</w:t>
            </w:r>
          </w:p>
        </w:tc>
        <w:tc>
          <w:tcPr>
            <w:tcW w:w="6175" w:type="dxa"/>
            <w:shd w:val="clear" w:color="auto" w:fill="auto"/>
            <w:tcMar>
              <w:left w:w="93" w:type="dxa"/>
            </w:tcMar>
          </w:tcPr>
          <w:p w:rsidR="00C70038" w:rsidRPr="00BD28CD" w:rsidRDefault="00C91317" w:rsidP="00BC4737">
            <w:pPr>
              <w:suppressAutoHyphens/>
              <w:spacing w:before="58" w:after="0" w:line="240" w:lineRule="auto"/>
              <w:ind w:left="115"/>
              <w:jc w:val="both"/>
              <w:rPr>
                <w:rFonts w:ascii="Times New Roman" w:hAnsi="Times New Roman" w:cs="Times New Roman"/>
                <w:i/>
                <w:color w:val="auto"/>
                <w:lang w:val="en-GB"/>
              </w:rPr>
            </w:pPr>
            <w:r w:rsidRPr="00735F2F">
              <w:rPr>
                <w:rFonts w:cs="Verdana"/>
                <w:i/>
                <w:color w:val="auto"/>
                <w:sz w:val="20"/>
                <w:szCs w:val="20"/>
                <w:lang w:val="en-GB"/>
              </w:rPr>
              <w:t>Approval for the establishment of an operational point at Moara Vlasiei, Ilfov County (Real Estate Register 50098), where the agricultural activity will take place</w:t>
            </w:r>
            <w:r w:rsidRPr="00D80C8B">
              <w:rPr>
                <w:rFonts w:cs="Verdana"/>
                <w:i/>
                <w:color w:val="auto"/>
                <w:sz w:val="20"/>
                <w:szCs w:val="20"/>
                <w:lang w:val="en-GB"/>
              </w:rPr>
              <w:t>.</w:t>
            </w:r>
          </w:p>
        </w:tc>
        <w:tc>
          <w:tcPr>
            <w:tcW w:w="1159" w:type="dxa"/>
            <w:shd w:val="clear" w:color="auto" w:fill="auto"/>
            <w:tcMar>
              <w:left w:w="93" w:type="dxa"/>
            </w:tcMar>
          </w:tcPr>
          <w:p w:rsidR="00C70038" w:rsidRPr="00BD28CD" w:rsidRDefault="00C70038" w:rsidP="0079758E">
            <w:pPr>
              <w:spacing w:after="0" w:line="240" w:lineRule="auto"/>
              <w:ind w:left="76" w:hanging="76"/>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292"/>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2</w:t>
            </w:r>
          </w:p>
        </w:tc>
        <w:tc>
          <w:tcPr>
            <w:tcW w:w="6175" w:type="dxa"/>
            <w:shd w:val="clear" w:color="auto" w:fill="auto"/>
            <w:tcMar>
              <w:left w:w="93" w:type="dxa"/>
            </w:tcMar>
          </w:tcPr>
          <w:p w:rsidR="00C91317" w:rsidRPr="00D80C8B" w:rsidRDefault="00C91317" w:rsidP="00B7457F">
            <w:pPr>
              <w:suppressAutoHyphens/>
              <w:spacing w:before="120" w:after="120" w:line="240" w:lineRule="auto"/>
              <w:jc w:val="both"/>
              <w:rPr>
                <w:rFonts w:cs="Times New Roman"/>
                <w:i/>
                <w:color w:val="auto"/>
                <w:lang w:val="en-GB"/>
              </w:rPr>
            </w:pPr>
            <w:r w:rsidRPr="00C03B57">
              <w:rPr>
                <w:rFonts w:cs="Times New Roman"/>
                <w:i/>
                <w:color w:val="auto"/>
                <w:lang w:val="en-GB"/>
              </w:rPr>
              <w:t>Approval of the conclusion of an addendum to the company’s articles of incorporation, which will mention the issues approved in art. 1, respectively the supplementation of art 3.3, with the operational point located at Moara Vlasiei Ilfov County, which will have the following content</w:t>
            </w:r>
            <w:r w:rsidRPr="00D80C8B">
              <w:rPr>
                <w:rFonts w:cs="Times New Roman"/>
                <w:i/>
                <w:color w:val="auto"/>
                <w:lang w:val="en-GB"/>
              </w:rPr>
              <w: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Pr>
                <w:rFonts w:cs="Times New Roman"/>
                <w:i/>
                <w:color w:val="auto"/>
                <w:lang w:val="en-GB"/>
              </w:rPr>
              <w:t>“</w:t>
            </w:r>
            <w:r w:rsidRPr="00C03B57">
              <w:rPr>
                <w:rFonts w:cs="Times New Roman"/>
                <w:i/>
                <w:color w:val="auto"/>
                <w:lang w:val="en-GB"/>
              </w:rPr>
              <w:t>3.3. The trading company ELECTROMAGNETICA SA owns as units without legal personality the following:</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Prototype section of Special Production located at str. Chirca nr. 101, Varteju Commune, Magurele Town, Ilfov County - where the activity under NACE code 2651 - Manufacture of instruments and appliances for measuring, testing and navigation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The store “CASATEL” located at Calea Rahovei nr. 266-268, sector 5, Bucharest, where the activity under NACE code 4754 - Retail sale of electrical household appliances in specialised stores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Sports Center located at str. Veseliei nr. 19, sector 5, Bucharest, where the activity under NACE code 9311 - Operation of sports facilities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Galanesti - Bilca 1 - placed on Suceava River in Bilca Commune, Suceava County, where the activity under NACE code 3511 - Production of electricity is carried out. </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Galanesti - Bilca 2 - placed on Suceava River in Bilca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Galanesti - Bilca 3 - placed on Suceava River in Bilca Commune, Suceava County, </w:t>
            </w:r>
            <w:r w:rsidRPr="00C03B57">
              <w:rPr>
                <w:rFonts w:cs="Times New Roman"/>
                <w:i/>
                <w:color w:val="auto"/>
                <w:lang w:val="en-GB"/>
              </w:rPr>
              <w:lastRenderedPageBreak/>
              <w:t>where the activity under NACE code 3511 - Production of electricity and office activity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Tibeni - placed on Suceava River in Satu Mare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Brodina 1 - placed on Brodina River in Brodina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Brodina 2 - placed on Brodina River in Brodina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Sadau - placed on Sadau River in Sadau, Brodina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is placed on Brodina River in Brodina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Putna - placed on Putnisoara River in Putna Commune, Suceava County, where the activity under NACE code 3511 - Production of electricity is carried out.</w:t>
            </w:r>
          </w:p>
          <w:p w:rsidR="00C91317" w:rsidRPr="00C03B57" w:rsidRDefault="00C91317" w:rsidP="00C91317">
            <w:pPr>
              <w:pStyle w:val="ListParagraph"/>
              <w:numPr>
                <w:ilvl w:val="0"/>
                <w:numId w:val="3"/>
              </w:numPr>
              <w:suppressAutoHyphens/>
              <w:spacing w:before="120" w:after="120" w:line="240" w:lineRule="auto"/>
              <w:jc w:val="both"/>
              <w:rPr>
                <w:rFonts w:cs="Times New Roman"/>
                <w:i/>
                <w:color w:val="auto"/>
                <w:lang w:val="en-GB"/>
              </w:rPr>
            </w:pPr>
            <w:r w:rsidRPr="00C03B57">
              <w:rPr>
                <w:rFonts w:cs="Times New Roman"/>
                <w:i/>
                <w:color w:val="auto"/>
                <w:lang w:val="en-GB"/>
              </w:rPr>
              <w:t xml:space="preserve"> Low power hydroelectric plant Brodina de Jos-placed on Brodina River in Brodina Commune, Suceava County, where the activity under NACE code 3511 - Production of electricity is carried out.</w:t>
            </w:r>
          </w:p>
          <w:p w:rsidR="00C70038" w:rsidRPr="00BD28CD" w:rsidRDefault="00C91317" w:rsidP="00C91317">
            <w:pPr>
              <w:pStyle w:val="ListParagraph"/>
              <w:numPr>
                <w:ilvl w:val="0"/>
                <w:numId w:val="3"/>
              </w:numPr>
              <w:suppressAutoHyphens/>
              <w:spacing w:before="120" w:after="120" w:line="240" w:lineRule="auto"/>
              <w:jc w:val="both"/>
              <w:rPr>
                <w:rFonts w:ascii="Times New Roman" w:hAnsi="Times New Roman" w:cs="Times New Roman"/>
                <w:i/>
                <w:color w:val="auto"/>
                <w:lang w:val="en-GB"/>
              </w:rPr>
            </w:pPr>
            <w:r w:rsidRPr="00C03B57">
              <w:rPr>
                <w:rFonts w:cs="Times New Roman"/>
                <w:i/>
                <w:color w:val="auto"/>
                <w:lang w:val="en-GB"/>
              </w:rPr>
              <w:t>The land located at Moara Vlasiei, Real Estate Register 50098, where the agricultural activity is carried out</w:t>
            </w:r>
            <w:r>
              <w:rPr>
                <w:rFonts w:cs="Times New Roman"/>
                <w:i/>
                <w:color w:val="auto"/>
                <w:lang w:val="en-GB"/>
              </w:rPr>
              <w:t>.</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548"/>
          <w:jc w:val="center"/>
        </w:trPr>
        <w:tc>
          <w:tcPr>
            <w:tcW w:w="625" w:type="dxa"/>
            <w:shd w:val="clear" w:color="auto" w:fill="auto"/>
            <w:tcMar>
              <w:left w:w="93" w:type="dxa"/>
            </w:tcMar>
          </w:tcPr>
          <w:p w:rsidR="00C70038" w:rsidRPr="00BD28CD" w:rsidRDefault="00C70038" w:rsidP="0079758E">
            <w:pPr>
              <w:spacing w:after="0" w:line="240" w:lineRule="auto"/>
              <w:jc w:val="center"/>
              <w:rPr>
                <w:color w:val="auto"/>
                <w:lang w:val="en-GB"/>
              </w:rPr>
            </w:pPr>
            <w:r w:rsidRPr="00BD28CD">
              <w:rPr>
                <w:b/>
                <w:color w:val="auto"/>
                <w:lang w:val="en-GB"/>
              </w:rPr>
              <w:t>3</w:t>
            </w:r>
          </w:p>
        </w:tc>
        <w:tc>
          <w:tcPr>
            <w:tcW w:w="6175" w:type="dxa"/>
            <w:shd w:val="clear" w:color="auto" w:fill="auto"/>
            <w:tcMar>
              <w:left w:w="93" w:type="dxa"/>
            </w:tcMar>
          </w:tcPr>
          <w:p w:rsidR="00C70038" w:rsidRPr="00BD28CD" w:rsidRDefault="00C91317" w:rsidP="00B7457F">
            <w:pPr>
              <w:suppressAutoHyphens/>
              <w:spacing w:before="58" w:after="0" w:line="240" w:lineRule="auto"/>
              <w:ind w:left="144"/>
              <w:jc w:val="both"/>
              <w:rPr>
                <w:rFonts w:ascii="Calibri" w:hAnsi="Calibri"/>
                <w:color w:val="auto"/>
                <w:lang w:val="en-GB"/>
              </w:rPr>
            </w:pPr>
            <w:r w:rsidRPr="00C03B57">
              <w:rPr>
                <w:i/>
                <w:color w:val="auto"/>
                <w:sz w:val="20"/>
                <w:szCs w:val="20"/>
                <w:lang w:val="en-GB"/>
              </w:rPr>
              <w:t>Approval for setting-up of a collateral for assets from the category of fixed assets of the company whose value does not exceed, individually or cumulatively (during each financial year from 2020 - 2023), 60% of the total assets, less the receivables, by authorizing the Board of Directors to concluded related legal documents</w:t>
            </w:r>
            <w:r>
              <w:rPr>
                <w:i/>
                <w:color w:val="auto"/>
                <w:sz w:val="20"/>
                <w:szCs w:val="20"/>
                <w:lang w:val="en-GB"/>
              </w:rPr>
              <w:t>.</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r w:rsidR="007A4F98" w:rsidRPr="00BD28CD" w:rsidTr="0081720A">
        <w:trPr>
          <w:trHeight w:val="548"/>
          <w:jc w:val="center"/>
        </w:trPr>
        <w:tc>
          <w:tcPr>
            <w:tcW w:w="625" w:type="dxa"/>
            <w:shd w:val="clear" w:color="auto" w:fill="auto"/>
            <w:tcMar>
              <w:left w:w="93" w:type="dxa"/>
            </w:tcMar>
          </w:tcPr>
          <w:p w:rsidR="0069564E" w:rsidRPr="00BD28CD" w:rsidRDefault="0069564E" w:rsidP="0079758E">
            <w:pPr>
              <w:spacing w:after="0" w:line="240" w:lineRule="auto"/>
              <w:jc w:val="center"/>
              <w:rPr>
                <w:b/>
                <w:color w:val="auto"/>
                <w:lang w:val="en-GB"/>
              </w:rPr>
            </w:pPr>
            <w:r w:rsidRPr="00BD28CD">
              <w:rPr>
                <w:b/>
                <w:color w:val="auto"/>
                <w:lang w:val="en-GB"/>
              </w:rPr>
              <w:t>4</w:t>
            </w:r>
          </w:p>
        </w:tc>
        <w:tc>
          <w:tcPr>
            <w:tcW w:w="6175" w:type="dxa"/>
            <w:shd w:val="clear" w:color="auto" w:fill="auto"/>
            <w:tcMar>
              <w:left w:w="93" w:type="dxa"/>
            </w:tcMar>
          </w:tcPr>
          <w:p w:rsidR="0069564E" w:rsidRPr="00BD28CD" w:rsidRDefault="00C91317" w:rsidP="00B7457F">
            <w:pPr>
              <w:spacing w:before="280" w:after="280" w:line="240" w:lineRule="auto"/>
              <w:ind w:left="144"/>
              <w:contextualSpacing/>
              <w:jc w:val="both"/>
              <w:rPr>
                <w:rFonts w:ascii="Times New Roman" w:hAnsi="Times New Roman" w:cs="Times New Roman"/>
                <w:i/>
                <w:color w:val="auto"/>
                <w:lang w:val="en-GB"/>
              </w:rPr>
            </w:pPr>
            <w:r w:rsidRPr="00C03B57">
              <w:rPr>
                <w:rFonts w:cs="Verdana"/>
                <w:i/>
                <w:iCs/>
                <w:color w:val="auto"/>
                <w:sz w:val="20"/>
                <w:szCs w:val="20"/>
                <w:lang w:val="en-GB"/>
              </w:rPr>
              <w:t>Approval of the date of August 18, 2020 as the registration date for the identification of the shareholders on which are incumbent the effects of the decisions of AGEA and of the date of August 17, 2020 as ex-date (the date on which the shares are traded without the rights deriving from the AGEA decisions</w:t>
            </w:r>
            <w:r w:rsidRPr="00D80C8B">
              <w:rPr>
                <w:rFonts w:cs="Verdana"/>
                <w:i/>
                <w:iCs/>
                <w:color w:val="auto"/>
                <w:sz w:val="20"/>
                <w:szCs w:val="20"/>
                <w:lang w:val="en-GB"/>
              </w:rPr>
              <w:t>.</w:t>
            </w:r>
          </w:p>
        </w:tc>
        <w:tc>
          <w:tcPr>
            <w:tcW w:w="1159"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c>
          <w:tcPr>
            <w:tcW w:w="1303"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c>
          <w:tcPr>
            <w:tcW w:w="1424" w:type="dxa"/>
            <w:shd w:val="clear" w:color="auto" w:fill="auto"/>
            <w:tcMar>
              <w:left w:w="93" w:type="dxa"/>
            </w:tcMar>
          </w:tcPr>
          <w:p w:rsidR="0069564E" w:rsidRPr="00BD28CD" w:rsidRDefault="0069564E" w:rsidP="0079758E">
            <w:pPr>
              <w:spacing w:after="0" w:line="240" w:lineRule="auto"/>
              <w:rPr>
                <w:b/>
                <w:color w:val="auto"/>
                <w:sz w:val="24"/>
                <w:szCs w:val="24"/>
                <w:lang w:val="en-GB"/>
              </w:rPr>
            </w:pPr>
          </w:p>
        </w:tc>
      </w:tr>
      <w:tr w:rsidR="00C70038" w:rsidRPr="00BD28CD" w:rsidTr="0081720A">
        <w:trPr>
          <w:trHeight w:val="548"/>
          <w:jc w:val="center"/>
        </w:trPr>
        <w:tc>
          <w:tcPr>
            <w:tcW w:w="625" w:type="dxa"/>
            <w:shd w:val="clear" w:color="auto" w:fill="auto"/>
            <w:tcMar>
              <w:left w:w="93" w:type="dxa"/>
            </w:tcMar>
          </w:tcPr>
          <w:p w:rsidR="00C70038" w:rsidRPr="00BD28CD" w:rsidRDefault="003A70CE" w:rsidP="0079758E">
            <w:pPr>
              <w:spacing w:after="0" w:line="240" w:lineRule="auto"/>
              <w:jc w:val="center"/>
              <w:rPr>
                <w:b/>
                <w:color w:val="auto"/>
                <w:lang w:val="en-GB"/>
              </w:rPr>
            </w:pPr>
            <w:r w:rsidRPr="00BD28CD">
              <w:rPr>
                <w:b/>
                <w:color w:val="auto"/>
                <w:lang w:val="en-GB"/>
              </w:rPr>
              <w:t>5</w:t>
            </w:r>
          </w:p>
        </w:tc>
        <w:tc>
          <w:tcPr>
            <w:tcW w:w="6175" w:type="dxa"/>
            <w:shd w:val="clear" w:color="auto" w:fill="auto"/>
            <w:tcMar>
              <w:left w:w="93" w:type="dxa"/>
            </w:tcMar>
          </w:tcPr>
          <w:p w:rsidR="00C70038" w:rsidRPr="00BD28CD" w:rsidRDefault="00C91317" w:rsidP="00B7457F">
            <w:pPr>
              <w:spacing w:before="280" w:after="280" w:line="240" w:lineRule="auto"/>
              <w:ind w:left="144"/>
              <w:contextualSpacing/>
              <w:jc w:val="both"/>
              <w:rPr>
                <w:i/>
                <w:color w:val="auto"/>
                <w:lang w:val="en-GB"/>
              </w:rPr>
            </w:pPr>
            <w:r w:rsidRPr="00C03B57">
              <w:rPr>
                <w:rFonts w:cs="Verdana"/>
                <w:i/>
                <w:iCs/>
                <w:color w:val="auto"/>
                <w:sz w:val="20"/>
                <w:szCs w:val="20"/>
                <w:lang w:val="en-GB"/>
              </w:rPr>
              <w:t xml:space="preserve">Authorizing Mr. Eugen Scheusan - Chairman of the Board of Directors, with the possibility of substitution, in order: i) to conclude and / or sign, on behalf of the Company and / or the shareholders of the Company, the resolutions of this AGEA, the addendum to these articles of incorporation, the updated articles of incorporation as well as any and all  decisions, documents, applications, forms and requests adopted / drawn up for its purpose for the execution of the decisions of this AGEA in relation to any natural or legal person, either private or public, to </w:t>
            </w:r>
            <w:r w:rsidRPr="00C03B57">
              <w:rPr>
                <w:rFonts w:cs="Verdana"/>
                <w:i/>
                <w:iCs/>
                <w:color w:val="auto"/>
                <w:sz w:val="20"/>
                <w:szCs w:val="20"/>
                <w:lang w:val="en-GB"/>
              </w:rPr>
              <w:lastRenderedPageBreak/>
              <w:t>perform all the legal formalities for registration, enforceability, execution and publication of the adopted decisions</w:t>
            </w:r>
            <w:r w:rsidRPr="00D80C8B">
              <w:rPr>
                <w:rFonts w:cs="Verdana"/>
                <w:i/>
                <w:iCs/>
                <w:color w:val="auto"/>
                <w:sz w:val="20"/>
                <w:szCs w:val="20"/>
                <w:lang w:val="en-GB"/>
              </w:rPr>
              <w:t>.</w:t>
            </w:r>
          </w:p>
        </w:tc>
        <w:tc>
          <w:tcPr>
            <w:tcW w:w="1159"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303"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c>
          <w:tcPr>
            <w:tcW w:w="1424" w:type="dxa"/>
            <w:shd w:val="clear" w:color="auto" w:fill="auto"/>
            <w:tcMar>
              <w:left w:w="93" w:type="dxa"/>
            </w:tcMar>
          </w:tcPr>
          <w:p w:rsidR="00C70038" w:rsidRPr="00BD28CD" w:rsidRDefault="00C70038" w:rsidP="0079758E">
            <w:pPr>
              <w:spacing w:after="0" w:line="240" w:lineRule="auto"/>
              <w:rPr>
                <w:b/>
                <w:color w:val="auto"/>
                <w:sz w:val="24"/>
                <w:szCs w:val="24"/>
                <w:lang w:val="en-GB"/>
              </w:rPr>
            </w:pPr>
          </w:p>
        </w:tc>
      </w:tr>
    </w:tbl>
    <w:p w:rsidR="00A77D79" w:rsidRPr="00BD28CD" w:rsidRDefault="00A77D79">
      <w:pPr>
        <w:rPr>
          <w:color w:val="auto"/>
          <w:lang w:val="en-GB"/>
        </w:rPr>
      </w:pPr>
    </w:p>
    <w:sectPr w:rsidR="00A77D79" w:rsidRPr="00BD28CD">
      <w:footerReference w:type="default" r:id="rId8"/>
      <w:pgSz w:w="11909" w:h="16834"/>
      <w:pgMar w:top="1440" w:right="1080" w:bottom="1440" w:left="1080" w:header="0" w:footer="57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78" w:rsidRDefault="00964178">
      <w:pPr>
        <w:spacing w:after="0" w:line="240" w:lineRule="auto"/>
      </w:pPr>
      <w:r>
        <w:separator/>
      </w:r>
    </w:p>
  </w:endnote>
  <w:endnote w:type="continuationSeparator" w:id="0">
    <w:p w:rsidR="00964178" w:rsidRDefault="0096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8104"/>
      <w:docPartObj>
        <w:docPartGallery w:val="Page Numbers (Bottom of Page)"/>
        <w:docPartUnique/>
      </w:docPartObj>
    </w:sdtPr>
    <w:sdtEndPr/>
    <w:sdtContent>
      <w:p w:rsidR="00A77D79" w:rsidRDefault="00D83499">
        <w:pPr>
          <w:pStyle w:val="Footer"/>
          <w:jc w:val="center"/>
        </w:pPr>
        <w:r>
          <w:fldChar w:fldCharType="begin"/>
        </w:r>
        <w:r>
          <w:instrText>PAGE</w:instrText>
        </w:r>
        <w:r>
          <w:fldChar w:fldCharType="separate"/>
        </w:r>
        <w:r w:rsidR="00072FD5">
          <w:rPr>
            <w:noProof/>
          </w:rPr>
          <w:t>1</w:t>
        </w:r>
        <w:r>
          <w:fldChar w:fldCharType="end"/>
        </w:r>
      </w:p>
    </w:sdtContent>
  </w:sdt>
  <w:p w:rsidR="00A77D79" w:rsidRDefault="00A77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78" w:rsidRDefault="00964178">
      <w:r>
        <w:separator/>
      </w:r>
    </w:p>
  </w:footnote>
  <w:footnote w:type="continuationSeparator" w:id="0">
    <w:p w:rsidR="00964178" w:rsidRDefault="00964178">
      <w:r>
        <w:continuationSeparator/>
      </w:r>
    </w:p>
  </w:footnote>
  <w:footnote w:id="1">
    <w:p w:rsidR="00A77D79" w:rsidRDefault="00D83499">
      <w:pPr>
        <w:pStyle w:val="FootnoteText"/>
      </w:pPr>
      <w:r>
        <w:rPr>
          <w:rStyle w:val="FootnoteReference"/>
        </w:rPr>
        <w:footnoteRef/>
      </w:r>
      <w:r>
        <w:rPr>
          <w:rStyle w:val="FootnoteReference"/>
        </w:rPr>
        <w:tab/>
      </w:r>
      <w:r w:rsidR="00BD28CD" w:rsidRPr="00BD28CD">
        <w:t>At each item on the agenda, indicate your vote by ticking an X in the box corresponding to the option you have chosen</w:t>
      </w:r>
      <w:r>
        <w:t xml:space="preserve">. </w:t>
      </w:r>
      <w:r w:rsidR="00BD28CD">
        <w:t>In</w:t>
      </w:r>
      <w:r w:rsidR="00BD28CD" w:rsidRPr="00BD28CD">
        <w:t xml:space="preserve"> the event that no box is ticked, the vote is considered unexpressed and if several options are checked at the same point, the vote is considered null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2"/>
      <w:numFmt w:val="bullet"/>
      <w:lvlText w:val="-"/>
      <w:lvlJc w:val="left"/>
      <w:pPr>
        <w:tabs>
          <w:tab w:val="num" w:pos="0"/>
        </w:tabs>
        <w:ind w:left="360" w:hanging="360"/>
      </w:pPr>
      <w:rPr>
        <w:rFonts w:ascii="Arial" w:hAnsi="Arial" w:cs="Arial"/>
        <w:b/>
        <w:sz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16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600" w:hanging="360"/>
      </w:pPr>
    </w:lvl>
    <w:lvl w:ilvl="6">
      <w:start w:val="1"/>
      <w:numFmt w:val="decimal"/>
      <w:lvlText w:val="%7."/>
      <w:lvlJc w:val="left"/>
      <w:pPr>
        <w:tabs>
          <w:tab w:val="num" w:pos="0"/>
        </w:tabs>
        <w:ind w:left="4320" w:hanging="360"/>
      </w:pPr>
    </w:lvl>
    <w:lvl w:ilvl="7">
      <w:start w:val="1"/>
      <w:numFmt w:val="decimal"/>
      <w:lvlText w:val="%8."/>
      <w:lvlJc w:val="left"/>
      <w:pPr>
        <w:tabs>
          <w:tab w:val="num" w:pos="0"/>
        </w:tabs>
        <w:ind w:left="5040" w:hanging="360"/>
      </w:pPr>
    </w:lvl>
    <w:lvl w:ilvl="8">
      <w:start w:val="1"/>
      <w:numFmt w:val="decimal"/>
      <w:lvlText w:val="%9."/>
      <w:lvlJc w:val="left"/>
      <w:pPr>
        <w:tabs>
          <w:tab w:val="num" w:pos="0"/>
        </w:tabs>
        <w:ind w:left="5760" w:hanging="360"/>
      </w:pPr>
    </w:lvl>
  </w:abstractNum>
  <w:abstractNum w:abstractNumId="1" w15:restartNumberingAfterBreak="0">
    <w:nsid w:val="13560B33"/>
    <w:multiLevelType w:val="hybridMultilevel"/>
    <w:tmpl w:val="C21C4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79"/>
    <w:rsid w:val="00072FD5"/>
    <w:rsid w:val="0013305D"/>
    <w:rsid w:val="001A059E"/>
    <w:rsid w:val="002E1C76"/>
    <w:rsid w:val="003202CC"/>
    <w:rsid w:val="003738D7"/>
    <w:rsid w:val="00382956"/>
    <w:rsid w:val="003A70CE"/>
    <w:rsid w:val="003E2C29"/>
    <w:rsid w:val="0041452B"/>
    <w:rsid w:val="004B641D"/>
    <w:rsid w:val="00542F0B"/>
    <w:rsid w:val="00595544"/>
    <w:rsid w:val="005F38F6"/>
    <w:rsid w:val="00681C9C"/>
    <w:rsid w:val="00682C76"/>
    <w:rsid w:val="0069564E"/>
    <w:rsid w:val="006A45DD"/>
    <w:rsid w:val="006E2795"/>
    <w:rsid w:val="006F0702"/>
    <w:rsid w:val="007A4F98"/>
    <w:rsid w:val="0081720A"/>
    <w:rsid w:val="00836A1E"/>
    <w:rsid w:val="00837ADD"/>
    <w:rsid w:val="00847EE2"/>
    <w:rsid w:val="00954CAE"/>
    <w:rsid w:val="00964178"/>
    <w:rsid w:val="00A36B91"/>
    <w:rsid w:val="00A77D79"/>
    <w:rsid w:val="00AE4203"/>
    <w:rsid w:val="00B20964"/>
    <w:rsid w:val="00B24526"/>
    <w:rsid w:val="00B7457F"/>
    <w:rsid w:val="00B95C64"/>
    <w:rsid w:val="00BC0138"/>
    <w:rsid w:val="00BC4737"/>
    <w:rsid w:val="00BD28CD"/>
    <w:rsid w:val="00BF6680"/>
    <w:rsid w:val="00C70038"/>
    <w:rsid w:val="00C87FFB"/>
    <w:rsid w:val="00C91317"/>
    <w:rsid w:val="00CF56C0"/>
    <w:rsid w:val="00D2701F"/>
    <w:rsid w:val="00D83499"/>
    <w:rsid w:val="00E010B8"/>
    <w:rsid w:val="00E01A1A"/>
    <w:rsid w:val="00EC27DB"/>
    <w:rsid w:val="00EE638E"/>
    <w:rsid w:val="00EF3284"/>
    <w:rsid w:val="00F438CE"/>
    <w:rsid w:val="00F845D3"/>
    <w:rsid w:val="00FA0610"/>
    <w:rsid w:val="00FC3A4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30ED0-A2EC-4DCB-980F-3438BDD1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344C75"/>
    <w:rPr>
      <w:lang w:val="ro-RO"/>
    </w:rPr>
  </w:style>
  <w:style w:type="character" w:customStyle="1" w:styleId="HeaderChar">
    <w:name w:val="Header Char"/>
    <w:basedOn w:val="DefaultParagraphFont"/>
    <w:link w:val="Header"/>
    <w:uiPriority w:val="99"/>
    <w:semiHidden/>
    <w:qFormat/>
    <w:rsid w:val="001B52F2"/>
    <w:rPr>
      <w:lang w:val="ro-RO"/>
    </w:rPr>
  </w:style>
  <w:style w:type="character" w:customStyle="1" w:styleId="FooterChar">
    <w:name w:val="Footer Char"/>
    <w:basedOn w:val="DefaultParagraphFont"/>
    <w:link w:val="Footer"/>
    <w:uiPriority w:val="99"/>
    <w:qFormat/>
    <w:rsid w:val="001B52F2"/>
    <w:rPr>
      <w:lang w:val="ro-RO"/>
    </w:rPr>
  </w:style>
  <w:style w:type="character" w:customStyle="1" w:styleId="EndnoteTextChar">
    <w:name w:val="Endnote Text Char"/>
    <w:basedOn w:val="DefaultParagraphFont"/>
    <w:link w:val="EndnoteText"/>
    <w:uiPriority w:val="99"/>
    <w:semiHidden/>
    <w:qFormat/>
    <w:rsid w:val="00940F20"/>
    <w:rPr>
      <w:sz w:val="20"/>
      <w:szCs w:val="20"/>
      <w:lang w:val="ro-RO"/>
    </w:rPr>
  </w:style>
  <w:style w:type="character" w:styleId="EndnoteReference">
    <w:name w:val="endnote reference"/>
    <w:basedOn w:val="DefaultParagraphFont"/>
    <w:uiPriority w:val="99"/>
    <w:semiHidden/>
    <w:unhideWhenUsed/>
    <w:qFormat/>
    <w:rsid w:val="00940F20"/>
    <w:rPr>
      <w:vertAlign w:val="superscript"/>
    </w:rPr>
  </w:style>
  <w:style w:type="character" w:customStyle="1" w:styleId="FootnoteTextChar">
    <w:name w:val="Footnote Text Char"/>
    <w:basedOn w:val="DefaultParagraphFont"/>
    <w:link w:val="FootnoteText"/>
    <w:uiPriority w:val="99"/>
    <w:semiHidden/>
    <w:qFormat/>
    <w:rsid w:val="00DA3CA8"/>
    <w:rPr>
      <w:sz w:val="20"/>
      <w:szCs w:val="20"/>
      <w:lang w:val="ro-RO"/>
    </w:rPr>
  </w:style>
  <w:style w:type="character" w:styleId="FootnoteReference">
    <w:name w:val="footnote reference"/>
    <w:basedOn w:val="DefaultParagraphFont"/>
    <w:uiPriority w:val="99"/>
    <w:semiHidden/>
    <w:unhideWhenUsed/>
    <w:qFormat/>
    <w:rsid w:val="009B13D1"/>
    <w:rPr>
      <w:vertAlign w:val="superscript"/>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344C75"/>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qFormat/>
    <w:rsid w:val="00344C75"/>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BF1B41"/>
    <w:pPr>
      <w:ind w:left="720"/>
      <w:contextualSpacing/>
    </w:pPr>
  </w:style>
  <w:style w:type="paragraph" w:styleId="Header">
    <w:name w:val="header"/>
    <w:basedOn w:val="Normal"/>
    <w:link w:val="HeaderChar"/>
    <w:uiPriority w:val="99"/>
    <w:semiHidden/>
    <w:unhideWhenUsed/>
    <w:rsid w:val="001B52F2"/>
    <w:pPr>
      <w:tabs>
        <w:tab w:val="center" w:pos="4680"/>
        <w:tab w:val="right" w:pos="9360"/>
      </w:tabs>
      <w:spacing w:after="0" w:line="240" w:lineRule="auto"/>
    </w:pPr>
  </w:style>
  <w:style w:type="paragraph" w:styleId="Footer">
    <w:name w:val="footer"/>
    <w:basedOn w:val="Normal"/>
    <w:link w:val="FooterChar"/>
    <w:uiPriority w:val="99"/>
    <w:unhideWhenUsed/>
    <w:rsid w:val="001B52F2"/>
    <w:pPr>
      <w:tabs>
        <w:tab w:val="center" w:pos="4680"/>
        <w:tab w:val="right" w:pos="9360"/>
      </w:tabs>
      <w:spacing w:after="0" w:line="240" w:lineRule="auto"/>
    </w:pPr>
  </w:style>
  <w:style w:type="paragraph" w:styleId="EndnoteText">
    <w:name w:val="endnote text"/>
    <w:basedOn w:val="Normal"/>
    <w:link w:val="EndnoteTextChar"/>
    <w:uiPriority w:val="99"/>
    <w:semiHidden/>
    <w:unhideWhenUsed/>
    <w:qFormat/>
    <w:rsid w:val="00940F20"/>
    <w:pPr>
      <w:spacing w:after="0" w:line="240" w:lineRule="auto"/>
    </w:pPr>
    <w:rPr>
      <w:sz w:val="20"/>
      <w:szCs w:val="20"/>
    </w:rPr>
  </w:style>
  <w:style w:type="paragraph" w:styleId="FootnoteText">
    <w:name w:val="footnote text"/>
    <w:basedOn w:val="Normal"/>
    <w:link w:val="FootnoteTextChar"/>
  </w:style>
  <w:style w:type="paragraph" w:styleId="NormalWeb">
    <w:name w:val="Normal (Web)"/>
    <w:basedOn w:val="Normal"/>
    <w:uiPriority w:val="99"/>
    <w:unhideWhenUsed/>
    <w:qFormat/>
    <w:rsid w:val="0012750A"/>
    <w:pPr>
      <w:spacing w:beforeAutospacing="1"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A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8D7"/>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7A81-3E13-48F6-8711-4A49B470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4162</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CosminR</dc:creator>
  <cp:lastModifiedBy>Radu Dragne</cp:lastModifiedBy>
  <cp:revision>8</cp:revision>
  <cp:lastPrinted>2019-04-19T11:29:00Z</cp:lastPrinted>
  <dcterms:created xsi:type="dcterms:W3CDTF">2020-04-09T11:37:00Z</dcterms:created>
  <dcterms:modified xsi:type="dcterms:W3CDTF">2020-04-14T07:53:00Z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